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BE" w:rsidRPr="00C37A37" w:rsidRDefault="00CF56B2" w:rsidP="008965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0" w:name="_GoBack"/>
      <w:bookmarkEnd w:id="0"/>
      <w:r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>INSTRUÇÃO NORMATIVA</w:t>
      </w:r>
      <w:r w:rsidR="008965BE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 xml:space="preserve"> N° </w:t>
      </w:r>
      <w:r w:rsidR="00DD1C4F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>X.XXX</w:t>
      </w:r>
      <w:r w:rsidR="008965BE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 xml:space="preserve">, DE </w:t>
      </w:r>
      <w:r w:rsidR="00DD1C4F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>XX</w:t>
      </w:r>
      <w:r w:rsidR="008965BE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 xml:space="preserve"> DE </w:t>
      </w:r>
      <w:r w:rsidR="00DD1C4F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>XXXXXXX</w:t>
      </w:r>
      <w:r w:rsidR="008965BE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 xml:space="preserve"> DE 201</w:t>
      </w:r>
      <w:r w:rsidR="00DD1C4F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>X</w:t>
      </w:r>
      <w:r w:rsidR="008965BE" w:rsidRPr="00C37A37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>.</w:t>
      </w:r>
    </w:p>
    <w:p w:rsidR="008965BE" w:rsidRPr="00C37A37" w:rsidRDefault="008965BE" w:rsidP="008965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8965BE" w:rsidRPr="00C37A37" w:rsidRDefault="00E41B78" w:rsidP="008965BE">
      <w:pPr>
        <w:spacing w:after="0" w:line="240" w:lineRule="auto"/>
        <w:ind w:left="3960"/>
        <w:jc w:val="both"/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  <w:t xml:space="preserve">ESTABELECE AS CONDICIONANTES PADRÕES PARA AS </w:t>
      </w:r>
      <w:r w:rsidR="009F613A" w:rsidRPr="009F613A"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  <w:t>Licenças Municipais por Compromisso</w:t>
      </w:r>
      <w:r w:rsidR="00C17DE8" w:rsidRPr="00C37A37">
        <w:rPr>
          <w:rFonts w:ascii="Verdana" w:eastAsia="Times New Roman" w:hAnsi="Verdana" w:cs="Times New Roman"/>
          <w:b/>
          <w:bCs/>
          <w:i/>
          <w:iCs/>
          <w:caps/>
          <w:color w:val="993300"/>
          <w:sz w:val="20"/>
          <w:szCs w:val="20"/>
          <w:lang w:eastAsia="pt-BR"/>
        </w:rPr>
        <w:t>.</w:t>
      </w:r>
    </w:p>
    <w:p w:rsidR="00744D6B" w:rsidRPr="00C37A37" w:rsidRDefault="00744D6B" w:rsidP="00744D6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1C2C04" w:rsidRPr="008D3EB8" w:rsidRDefault="000D61F7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D3EB8">
        <w:rPr>
          <w:rFonts w:ascii="Verdana" w:hAnsi="Verdana" w:cs="Times New Roman"/>
          <w:b/>
          <w:color w:val="010202"/>
          <w:sz w:val="20"/>
          <w:szCs w:val="20"/>
        </w:rPr>
        <w:t xml:space="preserve">O </w:t>
      </w:r>
      <w:r w:rsidR="00744D6B" w:rsidRPr="008D3EB8">
        <w:rPr>
          <w:rFonts w:ascii="Verdana" w:hAnsi="Verdana" w:cs="Times New Roman"/>
          <w:b/>
          <w:color w:val="010202"/>
          <w:sz w:val="20"/>
          <w:szCs w:val="20"/>
        </w:rPr>
        <w:t xml:space="preserve">Secretário da Secretaria responsável pelas Políticas Públicas de Meio Ambiente do Município de </w:t>
      </w:r>
      <w:r w:rsidRPr="008D3EB8">
        <w:rPr>
          <w:rFonts w:ascii="Verdana" w:hAnsi="Verdana" w:cs="Times New Roman"/>
          <w:b/>
          <w:color w:val="010202"/>
          <w:sz w:val="20"/>
          <w:szCs w:val="20"/>
        </w:rPr>
        <w:t>(</w:t>
      </w:r>
      <w:r w:rsidR="00744D6B" w:rsidRPr="008D3EB8">
        <w:rPr>
          <w:rFonts w:ascii="Verdana" w:hAnsi="Verdana" w:cs="Times New Roman"/>
          <w:b/>
          <w:color w:val="010202"/>
          <w:sz w:val="20"/>
          <w:szCs w:val="20"/>
          <w:highlight w:val="yellow"/>
        </w:rPr>
        <w:t>Nome do Município</w:t>
      </w:r>
      <w:r w:rsidRPr="008D3EB8">
        <w:rPr>
          <w:rFonts w:ascii="Verdana" w:hAnsi="Verdana" w:cs="Times New Roman"/>
          <w:color w:val="010202"/>
          <w:sz w:val="20"/>
          <w:szCs w:val="20"/>
        </w:rPr>
        <w:t xml:space="preserve">), Estado do Espírito Santo, </w:t>
      </w:r>
      <w:r w:rsidR="001C2C04" w:rsidRPr="008D3EB8">
        <w:rPr>
          <w:rFonts w:ascii="Verdana" w:hAnsi="Verdana"/>
          <w:sz w:val="20"/>
          <w:szCs w:val="20"/>
        </w:rPr>
        <w:t>no uso das atribuições legais e,</w:t>
      </w:r>
    </w:p>
    <w:p w:rsidR="00F8306A" w:rsidRPr="008D3EB8" w:rsidRDefault="00F8306A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7CB5" w:rsidRPr="00C37A37" w:rsidRDefault="00727CB5" w:rsidP="001C2C04">
      <w:pPr>
        <w:spacing w:after="0" w:line="240" w:lineRule="auto"/>
        <w:jc w:val="both"/>
        <w:rPr>
          <w:rFonts w:ascii="Verdana" w:hAnsi="Verdana" w:cs="Times New Roman"/>
          <w:color w:val="010202"/>
          <w:sz w:val="20"/>
          <w:szCs w:val="20"/>
        </w:rPr>
      </w:pPr>
      <w:r w:rsidRPr="00BA2372">
        <w:rPr>
          <w:rFonts w:ascii="Verdana" w:hAnsi="Verdana" w:cs="Times New Roman"/>
          <w:b/>
          <w:color w:val="010202"/>
          <w:sz w:val="20"/>
          <w:szCs w:val="20"/>
        </w:rPr>
        <w:t>Considerando</w:t>
      </w:r>
      <w:r w:rsidRPr="00C37A37">
        <w:rPr>
          <w:rFonts w:ascii="Verdana" w:hAnsi="Verdana" w:cs="Times New Roman"/>
          <w:color w:val="010202"/>
          <w:sz w:val="20"/>
          <w:szCs w:val="20"/>
        </w:rPr>
        <w:t xml:space="preserve"> a Lei nº </w:t>
      </w:r>
      <w:proofErr w:type="spellStart"/>
      <w:r w:rsidRPr="00C37A37">
        <w:rPr>
          <w:rFonts w:ascii="Verdana" w:hAnsi="Verdana" w:cs="Times New Roman"/>
          <w:color w:val="010202"/>
          <w:sz w:val="20"/>
          <w:szCs w:val="20"/>
        </w:rPr>
        <w:t>x.xxx</w:t>
      </w:r>
      <w:proofErr w:type="spellEnd"/>
      <w:r w:rsidRPr="00C37A37">
        <w:rPr>
          <w:rFonts w:ascii="Verdana" w:hAnsi="Verdana" w:cs="Times New Roman"/>
          <w:color w:val="010202"/>
          <w:sz w:val="20"/>
          <w:szCs w:val="20"/>
        </w:rPr>
        <w:t xml:space="preserve">, de </w:t>
      </w:r>
      <w:proofErr w:type="spellStart"/>
      <w:r w:rsidRPr="00C37A37">
        <w:rPr>
          <w:rFonts w:ascii="Verdana" w:hAnsi="Verdana" w:cs="Times New Roman"/>
          <w:color w:val="010202"/>
          <w:sz w:val="20"/>
          <w:szCs w:val="20"/>
        </w:rPr>
        <w:t>xx</w:t>
      </w:r>
      <w:proofErr w:type="spellEnd"/>
      <w:r w:rsidRPr="00C37A37">
        <w:rPr>
          <w:rFonts w:ascii="Verdana" w:hAnsi="Verdana" w:cs="Times New Roman"/>
          <w:color w:val="010202"/>
          <w:sz w:val="20"/>
          <w:szCs w:val="20"/>
        </w:rPr>
        <w:t xml:space="preserve"> de </w:t>
      </w:r>
      <w:proofErr w:type="spellStart"/>
      <w:r w:rsidRPr="00C37A37">
        <w:rPr>
          <w:rFonts w:ascii="Verdana" w:hAnsi="Verdana" w:cs="Times New Roman"/>
          <w:color w:val="010202"/>
          <w:sz w:val="20"/>
          <w:szCs w:val="20"/>
        </w:rPr>
        <w:t>xxxxxxx</w:t>
      </w:r>
      <w:proofErr w:type="spellEnd"/>
      <w:r w:rsidRPr="00C37A37">
        <w:rPr>
          <w:rFonts w:ascii="Verdana" w:hAnsi="Verdana" w:cs="Times New Roman"/>
          <w:color w:val="010202"/>
          <w:sz w:val="20"/>
          <w:szCs w:val="20"/>
        </w:rPr>
        <w:t xml:space="preserve"> de 201x, que dispõe sobre a Política do Meio Ambiente e sobre o Sistema Municipal do Meio Ambiente para o Município de (</w:t>
      </w:r>
      <w:r w:rsidRPr="00C37A37">
        <w:rPr>
          <w:rFonts w:ascii="Verdana" w:hAnsi="Verdana" w:cs="Times New Roman"/>
          <w:color w:val="010202"/>
          <w:sz w:val="20"/>
          <w:szCs w:val="20"/>
          <w:highlight w:val="yellow"/>
        </w:rPr>
        <w:t>nome do Município</w:t>
      </w:r>
      <w:r w:rsidRPr="00C37A37">
        <w:rPr>
          <w:rFonts w:ascii="Verdana" w:hAnsi="Verdana" w:cs="Times New Roman"/>
          <w:color w:val="010202"/>
          <w:sz w:val="20"/>
          <w:szCs w:val="20"/>
        </w:rPr>
        <w:t>);</w:t>
      </w:r>
    </w:p>
    <w:p w:rsidR="00727CB5" w:rsidRPr="00C37A37" w:rsidRDefault="00727CB5" w:rsidP="001C2C04">
      <w:pPr>
        <w:spacing w:after="0" w:line="240" w:lineRule="auto"/>
        <w:jc w:val="both"/>
        <w:rPr>
          <w:rFonts w:ascii="Verdana" w:hAnsi="Verdana" w:cs="Times New Roman"/>
          <w:color w:val="010202"/>
          <w:sz w:val="20"/>
          <w:szCs w:val="20"/>
        </w:rPr>
      </w:pPr>
    </w:p>
    <w:p w:rsidR="00F8306A" w:rsidRPr="00C37A37" w:rsidRDefault="00727CB5" w:rsidP="00855D66">
      <w:pPr>
        <w:spacing w:after="0" w:line="240" w:lineRule="auto"/>
        <w:jc w:val="both"/>
        <w:rPr>
          <w:rFonts w:ascii="Verdana" w:hAnsi="Verdana"/>
        </w:rPr>
      </w:pPr>
      <w:r w:rsidRPr="00BA2372">
        <w:rPr>
          <w:rFonts w:ascii="Verdana" w:hAnsi="Verdana" w:cs="Times New Roman"/>
          <w:b/>
          <w:color w:val="010202"/>
          <w:sz w:val="20"/>
          <w:szCs w:val="20"/>
        </w:rPr>
        <w:t>Considerando</w:t>
      </w:r>
      <w:r w:rsidRPr="00C37A37">
        <w:rPr>
          <w:rFonts w:ascii="Verdana" w:hAnsi="Verdana" w:cs="Times New Roman"/>
          <w:color w:val="010202"/>
          <w:sz w:val="20"/>
          <w:szCs w:val="20"/>
        </w:rPr>
        <w:t xml:space="preserve"> o Decreto Municipal nº. </w:t>
      </w:r>
      <w:proofErr w:type="spellStart"/>
      <w:proofErr w:type="gramStart"/>
      <w:r w:rsidR="00855D66" w:rsidRPr="00C37A37">
        <w:rPr>
          <w:rFonts w:ascii="Verdana" w:hAnsi="Verdana" w:cs="Times New Roman"/>
          <w:color w:val="010202"/>
          <w:sz w:val="20"/>
          <w:szCs w:val="20"/>
        </w:rPr>
        <w:t>xxx</w:t>
      </w:r>
      <w:proofErr w:type="spellEnd"/>
      <w:proofErr w:type="gramEnd"/>
      <w:r w:rsidRPr="00C37A37">
        <w:rPr>
          <w:rFonts w:ascii="Verdana" w:hAnsi="Verdana" w:cs="Times New Roman"/>
          <w:color w:val="010202"/>
          <w:sz w:val="20"/>
          <w:szCs w:val="20"/>
        </w:rPr>
        <w:t xml:space="preserve">, de </w:t>
      </w:r>
      <w:proofErr w:type="spellStart"/>
      <w:r w:rsidR="00855D66" w:rsidRPr="00C37A37">
        <w:rPr>
          <w:rFonts w:ascii="Verdana" w:hAnsi="Verdana" w:cs="Times New Roman"/>
          <w:color w:val="010202"/>
          <w:sz w:val="20"/>
          <w:szCs w:val="20"/>
        </w:rPr>
        <w:t>xx</w:t>
      </w:r>
      <w:proofErr w:type="spellEnd"/>
      <w:r w:rsidRPr="00C37A37">
        <w:rPr>
          <w:rFonts w:ascii="Verdana" w:hAnsi="Verdana" w:cs="Times New Roman"/>
          <w:color w:val="010202"/>
          <w:sz w:val="20"/>
          <w:szCs w:val="20"/>
        </w:rPr>
        <w:t xml:space="preserve"> de </w:t>
      </w:r>
      <w:proofErr w:type="spellStart"/>
      <w:r w:rsidR="00855D66" w:rsidRPr="00C37A37">
        <w:rPr>
          <w:rFonts w:ascii="Verdana" w:hAnsi="Verdana" w:cs="Times New Roman"/>
          <w:color w:val="010202"/>
          <w:sz w:val="20"/>
          <w:szCs w:val="20"/>
        </w:rPr>
        <w:t>xxxxxxx</w:t>
      </w:r>
      <w:proofErr w:type="spellEnd"/>
      <w:r w:rsidRPr="00C37A37">
        <w:rPr>
          <w:rFonts w:ascii="Verdana" w:hAnsi="Verdana" w:cs="Times New Roman"/>
          <w:color w:val="010202"/>
          <w:sz w:val="20"/>
          <w:szCs w:val="20"/>
        </w:rPr>
        <w:t xml:space="preserve"> de 201</w:t>
      </w:r>
      <w:r w:rsidR="00855D66" w:rsidRPr="00C37A37">
        <w:rPr>
          <w:rFonts w:ascii="Verdana" w:hAnsi="Verdana" w:cs="Times New Roman"/>
          <w:color w:val="010202"/>
          <w:sz w:val="20"/>
          <w:szCs w:val="20"/>
        </w:rPr>
        <w:t>x</w:t>
      </w:r>
      <w:r w:rsidRPr="00C37A37">
        <w:rPr>
          <w:rFonts w:ascii="Verdana" w:hAnsi="Verdana" w:cs="Times New Roman"/>
          <w:color w:val="010202"/>
          <w:sz w:val="20"/>
          <w:szCs w:val="20"/>
        </w:rPr>
        <w:t>, que regulamenta</w:t>
      </w:r>
      <w:r w:rsidR="00855D66" w:rsidRPr="00C37A37">
        <w:rPr>
          <w:rFonts w:ascii="Verdana" w:hAnsi="Verdana" w:cs="Times New Roman"/>
          <w:color w:val="010202"/>
          <w:sz w:val="20"/>
          <w:szCs w:val="20"/>
        </w:rPr>
        <w:t xml:space="preserve"> atos e procedimentos relacionados ao licenciamento ambiental de atividades instaladas ou a se instalar no Município de (</w:t>
      </w:r>
      <w:r w:rsidR="00855D66" w:rsidRPr="00C37A37">
        <w:rPr>
          <w:rFonts w:ascii="Verdana" w:hAnsi="Verdana" w:cs="Times New Roman"/>
          <w:color w:val="010202"/>
          <w:sz w:val="20"/>
          <w:szCs w:val="20"/>
          <w:highlight w:val="yellow"/>
        </w:rPr>
        <w:t>Nome do Município</w:t>
      </w:r>
      <w:r w:rsidR="00855D66" w:rsidRPr="00C37A37">
        <w:rPr>
          <w:rFonts w:ascii="Verdana" w:hAnsi="Verdana" w:cs="Times New Roman"/>
          <w:color w:val="010202"/>
          <w:sz w:val="20"/>
          <w:szCs w:val="20"/>
        </w:rPr>
        <w:t>);</w:t>
      </w:r>
    </w:p>
    <w:p w:rsidR="00F8306A" w:rsidRPr="00C37A37" w:rsidRDefault="00F8306A" w:rsidP="001C2C04">
      <w:pPr>
        <w:spacing w:after="0" w:line="240" w:lineRule="auto"/>
        <w:jc w:val="both"/>
        <w:rPr>
          <w:rFonts w:ascii="Verdana" w:hAnsi="Verdana"/>
        </w:rPr>
      </w:pPr>
    </w:p>
    <w:p w:rsidR="00C37A37" w:rsidRPr="00C37A37" w:rsidRDefault="00C37A37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372">
        <w:rPr>
          <w:rFonts w:ascii="Verdana" w:hAnsi="Verdana"/>
          <w:b/>
          <w:sz w:val="20"/>
          <w:szCs w:val="20"/>
        </w:rPr>
        <w:t>RESOLVE</w:t>
      </w:r>
      <w:r w:rsidRPr="00C37A37">
        <w:rPr>
          <w:rFonts w:ascii="Verdana" w:hAnsi="Verdana"/>
          <w:sz w:val="20"/>
          <w:szCs w:val="20"/>
        </w:rPr>
        <w:t xml:space="preserve">: </w:t>
      </w:r>
    </w:p>
    <w:p w:rsidR="00C37A37" w:rsidRPr="00C37A37" w:rsidRDefault="00C37A37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306A" w:rsidRDefault="00C37A37" w:rsidP="008A508E">
      <w:pPr>
        <w:spacing w:after="0" w:line="240" w:lineRule="auto"/>
        <w:jc w:val="both"/>
        <w:rPr>
          <w:rFonts w:ascii="Verdana" w:hAnsi="Verdana" w:cs="Times New Roman"/>
          <w:color w:val="010202"/>
          <w:sz w:val="20"/>
          <w:szCs w:val="20"/>
        </w:rPr>
      </w:pPr>
      <w:r w:rsidRPr="00BA2372">
        <w:rPr>
          <w:rFonts w:ascii="Verdana" w:hAnsi="Verdana"/>
          <w:b/>
          <w:sz w:val="20"/>
          <w:szCs w:val="20"/>
        </w:rPr>
        <w:t>Art. 1º</w:t>
      </w:r>
      <w:r w:rsidRPr="00C37A37">
        <w:rPr>
          <w:rFonts w:ascii="Verdana" w:hAnsi="Verdana"/>
          <w:sz w:val="20"/>
          <w:szCs w:val="20"/>
        </w:rPr>
        <w:t xml:space="preserve">. Estabelecer </w:t>
      </w:r>
      <w:proofErr w:type="gramStart"/>
      <w:r w:rsidR="005C6A89">
        <w:rPr>
          <w:rFonts w:ascii="Verdana" w:hAnsi="Verdana"/>
          <w:sz w:val="20"/>
          <w:szCs w:val="20"/>
        </w:rPr>
        <w:t>as condicionantes padrões</w:t>
      </w:r>
      <w:proofErr w:type="gramEnd"/>
      <w:r w:rsidR="005C6A89">
        <w:rPr>
          <w:rFonts w:ascii="Verdana" w:hAnsi="Verdana"/>
          <w:sz w:val="20"/>
          <w:szCs w:val="20"/>
        </w:rPr>
        <w:t xml:space="preserve"> para as atividades enquadradas na Classe S1</w:t>
      </w:r>
      <w:r w:rsidR="008A508E" w:rsidRPr="008A508E">
        <w:rPr>
          <w:rFonts w:ascii="Verdana" w:hAnsi="Verdana"/>
          <w:sz w:val="20"/>
          <w:szCs w:val="20"/>
        </w:rPr>
        <w:t xml:space="preserve">, </w:t>
      </w:r>
      <w:r w:rsidR="008A508E">
        <w:rPr>
          <w:rFonts w:ascii="Verdana" w:hAnsi="Verdana"/>
          <w:sz w:val="20"/>
          <w:szCs w:val="20"/>
        </w:rPr>
        <w:t xml:space="preserve">previstos no </w:t>
      </w:r>
      <w:r w:rsidR="008A508E" w:rsidRPr="00CF3AA4">
        <w:rPr>
          <w:rFonts w:ascii="Verdana" w:hAnsi="Verdana"/>
          <w:sz w:val="20"/>
          <w:szCs w:val="20"/>
        </w:rPr>
        <w:t>Artigo 26</w:t>
      </w:r>
      <w:r w:rsidR="008A508E">
        <w:rPr>
          <w:rFonts w:ascii="Verdana" w:hAnsi="Verdana"/>
          <w:sz w:val="20"/>
          <w:szCs w:val="20"/>
        </w:rPr>
        <w:t xml:space="preserve"> do </w:t>
      </w:r>
      <w:r w:rsidR="008A508E" w:rsidRPr="00C37A37">
        <w:rPr>
          <w:rFonts w:ascii="Verdana" w:hAnsi="Verdana" w:cs="Times New Roman"/>
          <w:color w:val="010202"/>
          <w:sz w:val="20"/>
          <w:szCs w:val="20"/>
        </w:rPr>
        <w:t xml:space="preserve">Decreto Municipal nº. </w:t>
      </w:r>
      <w:proofErr w:type="spellStart"/>
      <w:proofErr w:type="gramStart"/>
      <w:r w:rsidR="008A508E" w:rsidRPr="00C37A37">
        <w:rPr>
          <w:rFonts w:ascii="Verdana" w:hAnsi="Verdana" w:cs="Times New Roman"/>
          <w:color w:val="010202"/>
          <w:sz w:val="20"/>
          <w:szCs w:val="20"/>
        </w:rPr>
        <w:t>xxx</w:t>
      </w:r>
      <w:proofErr w:type="spellEnd"/>
      <w:proofErr w:type="gramEnd"/>
      <w:r w:rsidR="008A508E" w:rsidRPr="00C37A37">
        <w:rPr>
          <w:rFonts w:ascii="Verdana" w:hAnsi="Verdana" w:cs="Times New Roman"/>
          <w:color w:val="010202"/>
          <w:sz w:val="20"/>
          <w:szCs w:val="20"/>
        </w:rPr>
        <w:t xml:space="preserve">, de </w:t>
      </w:r>
      <w:proofErr w:type="spellStart"/>
      <w:r w:rsidR="008A508E" w:rsidRPr="00C37A37">
        <w:rPr>
          <w:rFonts w:ascii="Verdana" w:hAnsi="Verdana" w:cs="Times New Roman"/>
          <w:color w:val="010202"/>
          <w:sz w:val="20"/>
          <w:szCs w:val="20"/>
        </w:rPr>
        <w:t>xx</w:t>
      </w:r>
      <w:proofErr w:type="spellEnd"/>
      <w:r w:rsidR="008A508E" w:rsidRPr="00C37A37">
        <w:rPr>
          <w:rFonts w:ascii="Verdana" w:hAnsi="Verdana" w:cs="Times New Roman"/>
          <w:color w:val="010202"/>
          <w:sz w:val="20"/>
          <w:szCs w:val="20"/>
        </w:rPr>
        <w:t xml:space="preserve"> de </w:t>
      </w:r>
      <w:proofErr w:type="spellStart"/>
      <w:r w:rsidR="008A508E" w:rsidRPr="00C37A37">
        <w:rPr>
          <w:rFonts w:ascii="Verdana" w:hAnsi="Verdana" w:cs="Times New Roman"/>
          <w:color w:val="010202"/>
          <w:sz w:val="20"/>
          <w:szCs w:val="20"/>
        </w:rPr>
        <w:t>xxxxxxx</w:t>
      </w:r>
      <w:proofErr w:type="spellEnd"/>
      <w:r w:rsidR="008A508E" w:rsidRPr="00C37A37">
        <w:rPr>
          <w:rFonts w:ascii="Verdana" w:hAnsi="Verdana" w:cs="Times New Roman"/>
          <w:color w:val="010202"/>
          <w:sz w:val="20"/>
          <w:szCs w:val="20"/>
        </w:rPr>
        <w:t xml:space="preserve"> de 201x, que regulamenta atos e procedimentos relacionados ao licenciamento ambiental</w:t>
      </w:r>
      <w:r w:rsidR="008A508E">
        <w:rPr>
          <w:rFonts w:ascii="Verdana" w:hAnsi="Verdana" w:cs="Times New Roman"/>
          <w:color w:val="010202"/>
          <w:sz w:val="20"/>
          <w:szCs w:val="20"/>
        </w:rPr>
        <w:t>.</w:t>
      </w:r>
    </w:p>
    <w:p w:rsidR="000F227D" w:rsidRDefault="000F227D" w:rsidP="008A508E">
      <w:pPr>
        <w:spacing w:after="0" w:line="240" w:lineRule="auto"/>
        <w:jc w:val="both"/>
        <w:rPr>
          <w:rFonts w:ascii="Verdana" w:hAnsi="Verdana" w:cs="Times New Roman"/>
          <w:color w:val="010202"/>
          <w:sz w:val="20"/>
          <w:szCs w:val="20"/>
        </w:rPr>
      </w:pPr>
    </w:p>
    <w:p w:rsidR="000F227D" w:rsidRDefault="000F227D" w:rsidP="008A50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726E">
        <w:rPr>
          <w:rFonts w:ascii="Verdana" w:hAnsi="Verdana"/>
          <w:b/>
          <w:sz w:val="20"/>
          <w:szCs w:val="20"/>
        </w:rPr>
        <w:t>Parágrafo único</w:t>
      </w:r>
      <w:r>
        <w:rPr>
          <w:rFonts w:ascii="Verdana" w:hAnsi="Verdana"/>
          <w:sz w:val="20"/>
          <w:szCs w:val="20"/>
        </w:rPr>
        <w:t>. As condicionant</w:t>
      </w:r>
      <w:r w:rsidR="0021259A">
        <w:rPr>
          <w:rFonts w:ascii="Verdana" w:hAnsi="Verdana"/>
          <w:sz w:val="20"/>
          <w:szCs w:val="20"/>
        </w:rPr>
        <w:t>es previstas nesta Instrução N</w:t>
      </w:r>
      <w:r>
        <w:rPr>
          <w:rFonts w:ascii="Verdana" w:hAnsi="Verdana"/>
          <w:sz w:val="20"/>
          <w:szCs w:val="20"/>
        </w:rPr>
        <w:t xml:space="preserve">ormativa também poderão ser utilizadas nas </w:t>
      </w:r>
      <w:r w:rsidRPr="00BE2529">
        <w:rPr>
          <w:rFonts w:ascii="Verdana" w:hAnsi="Verdana"/>
          <w:sz w:val="20"/>
          <w:szCs w:val="20"/>
        </w:rPr>
        <w:t>Licenç</w:t>
      </w:r>
      <w:r>
        <w:rPr>
          <w:rFonts w:ascii="Verdana" w:hAnsi="Verdana"/>
          <w:sz w:val="20"/>
          <w:szCs w:val="20"/>
        </w:rPr>
        <w:t>as</w:t>
      </w:r>
      <w:r w:rsidRPr="00BE2529">
        <w:rPr>
          <w:rFonts w:ascii="Verdana" w:hAnsi="Verdana"/>
          <w:sz w:val="20"/>
          <w:szCs w:val="20"/>
        </w:rPr>
        <w:t xml:space="preserve"> Municipa</w:t>
      </w:r>
      <w:r>
        <w:rPr>
          <w:rFonts w:ascii="Verdana" w:hAnsi="Verdana"/>
          <w:sz w:val="20"/>
          <w:szCs w:val="20"/>
        </w:rPr>
        <w:t>is</w:t>
      </w:r>
      <w:r w:rsidRPr="00BE2529">
        <w:rPr>
          <w:rFonts w:ascii="Verdana" w:hAnsi="Verdana"/>
          <w:sz w:val="20"/>
          <w:szCs w:val="20"/>
        </w:rPr>
        <w:t xml:space="preserve"> por Compromisso </w:t>
      </w:r>
      <w:r>
        <w:rPr>
          <w:rFonts w:ascii="Verdana" w:hAnsi="Verdana"/>
          <w:sz w:val="20"/>
          <w:szCs w:val="20"/>
        </w:rPr>
        <w:t>enquadradas na Classe S.</w:t>
      </w:r>
    </w:p>
    <w:p w:rsidR="005D062F" w:rsidRDefault="005D062F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2205" w:rsidRDefault="007B2205" w:rsidP="00B26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372">
        <w:rPr>
          <w:rFonts w:ascii="Verdana" w:hAnsi="Verdana"/>
          <w:b/>
          <w:sz w:val="20"/>
          <w:szCs w:val="20"/>
        </w:rPr>
        <w:t xml:space="preserve">Art. </w:t>
      </w:r>
      <w:r>
        <w:rPr>
          <w:rFonts w:ascii="Verdana" w:hAnsi="Verdana"/>
          <w:b/>
          <w:sz w:val="20"/>
          <w:szCs w:val="20"/>
        </w:rPr>
        <w:t>2</w:t>
      </w:r>
      <w:r w:rsidRPr="00BA2372">
        <w:rPr>
          <w:rFonts w:ascii="Verdana" w:hAnsi="Verdana"/>
          <w:b/>
          <w:sz w:val="20"/>
          <w:szCs w:val="20"/>
        </w:rPr>
        <w:t>º</w:t>
      </w:r>
      <w:r w:rsidRPr="00C37A37">
        <w:rPr>
          <w:rFonts w:ascii="Verdana" w:hAnsi="Verdana"/>
          <w:sz w:val="20"/>
          <w:szCs w:val="20"/>
        </w:rPr>
        <w:t xml:space="preserve">. </w:t>
      </w:r>
      <w:r w:rsidR="00D576D1">
        <w:rPr>
          <w:rFonts w:ascii="Verdana" w:hAnsi="Verdana"/>
          <w:sz w:val="20"/>
          <w:szCs w:val="20"/>
        </w:rPr>
        <w:t xml:space="preserve">A </w:t>
      </w:r>
      <w:r w:rsidR="00BE2529" w:rsidRPr="00BE2529">
        <w:rPr>
          <w:rFonts w:ascii="Verdana" w:hAnsi="Verdana"/>
          <w:sz w:val="20"/>
          <w:szCs w:val="20"/>
        </w:rPr>
        <w:t>Licença Municipal por Compromisso (LMC)</w:t>
      </w:r>
      <w:r w:rsidR="00BE2529" w:rsidRPr="002B4904">
        <w:rPr>
          <w:rFonts w:cs="Times New Roman"/>
          <w:sz w:val="20"/>
          <w:szCs w:val="20"/>
        </w:rPr>
        <w:t xml:space="preserve"> </w:t>
      </w:r>
      <w:r w:rsidR="00BE2529">
        <w:rPr>
          <w:rFonts w:ascii="Verdana" w:hAnsi="Verdana"/>
          <w:sz w:val="20"/>
          <w:szCs w:val="20"/>
        </w:rPr>
        <w:t xml:space="preserve">expedida </w:t>
      </w:r>
      <w:r w:rsidR="00261FA1">
        <w:rPr>
          <w:rFonts w:ascii="Verdana" w:hAnsi="Verdana"/>
          <w:sz w:val="20"/>
          <w:szCs w:val="20"/>
        </w:rPr>
        <w:t>para</w:t>
      </w:r>
      <w:r w:rsidR="00E00B46">
        <w:rPr>
          <w:rFonts w:ascii="Verdana" w:hAnsi="Verdana"/>
          <w:sz w:val="20"/>
          <w:szCs w:val="20"/>
        </w:rPr>
        <w:t xml:space="preserve"> as atividades </w:t>
      </w:r>
      <w:proofErr w:type="gramStart"/>
      <w:r w:rsidR="00E00B46">
        <w:rPr>
          <w:rFonts w:ascii="Verdana" w:hAnsi="Verdana"/>
          <w:sz w:val="20"/>
          <w:szCs w:val="20"/>
        </w:rPr>
        <w:t xml:space="preserve">enquadradas </w:t>
      </w:r>
      <w:r w:rsidR="00261FA1">
        <w:rPr>
          <w:rFonts w:ascii="Verdana" w:hAnsi="Verdana"/>
          <w:sz w:val="20"/>
          <w:szCs w:val="20"/>
        </w:rPr>
        <w:t xml:space="preserve"> </w:t>
      </w:r>
      <w:r w:rsidR="00E00B46">
        <w:rPr>
          <w:rFonts w:ascii="Verdana" w:hAnsi="Verdana"/>
          <w:sz w:val="20"/>
          <w:szCs w:val="20"/>
        </w:rPr>
        <w:t>n</w:t>
      </w:r>
      <w:r w:rsidR="00261FA1">
        <w:rPr>
          <w:rFonts w:ascii="Verdana" w:hAnsi="Verdana"/>
          <w:sz w:val="20"/>
          <w:szCs w:val="20"/>
        </w:rPr>
        <w:t>a</w:t>
      </w:r>
      <w:proofErr w:type="gramEnd"/>
      <w:r w:rsidR="00261FA1">
        <w:rPr>
          <w:rFonts w:ascii="Verdana" w:hAnsi="Verdana"/>
          <w:sz w:val="20"/>
          <w:szCs w:val="20"/>
        </w:rPr>
        <w:t xml:space="preserve"> Classe S1 </w:t>
      </w:r>
      <w:r w:rsidR="00BE2529">
        <w:rPr>
          <w:rFonts w:ascii="Verdana" w:hAnsi="Verdana"/>
          <w:sz w:val="20"/>
          <w:szCs w:val="20"/>
        </w:rPr>
        <w:t>deverá conte</w:t>
      </w:r>
      <w:r w:rsidR="00D576D1">
        <w:rPr>
          <w:rFonts w:ascii="Verdana" w:hAnsi="Verdana"/>
          <w:sz w:val="20"/>
          <w:szCs w:val="20"/>
        </w:rPr>
        <w:t>r</w:t>
      </w:r>
      <w:r w:rsidR="00BE2529">
        <w:rPr>
          <w:rFonts w:ascii="Verdana" w:hAnsi="Verdana"/>
          <w:sz w:val="20"/>
          <w:szCs w:val="20"/>
        </w:rPr>
        <w:t xml:space="preserve"> as condicionantes </w:t>
      </w:r>
      <w:r w:rsidR="00481BFF">
        <w:rPr>
          <w:rFonts w:ascii="Verdana" w:hAnsi="Verdana"/>
          <w:sz w:val="20"/>
          <w:szCs w:val="20"/>
        </w:rPr>
        <w:t>estabelecida</w:t>
      </w:r>
      <w:r w:rsidR="00611AB8">
        <w:rPr>
          <w:rFonts w:ascii="Verdana" w:hAnsi="Verdana"/>
          <w:sz w:val="20"/>
          <w:szCs w:val="20"/>
        </w:rPr>
        <w:t>s nos</w:t>
      </w:r>
      <w:r w:rsidR="00B26E58">
        <w:rPr>
          <w:rFonts w:ascii="Verdana" w:hAnsi="Verdana"/>
          <w:sz w:val="20"/>
          <w:szCs w:val="20"/>
        </w:rPr>
        <w:t xml:space="preserve"> </w:t>
      </w:r>
      <w:r w:rsidR="00B26E58" w:rsidRPr="002002DB">
        <w:rPr>
          <w:rFonts w:ascii="Verdana" w:hAnsi="Verdana"/>
          <w:sz w:val="20"/>
          <w:szCs w:val="20"/>
        </w:rPr>
        <w:t xml:space="preserve">anexos I </w:t>
      </w:r>
      <w:r w:rsidR="00230826" w:rsidRPr="002002DB">
        <w:rPr>
          <w:rFonts w:ascii="Verdana" w:hAnsi="Verdana"/>
          <w:sz w:val="20"/>
          <w:szCs w:val="20"/>
        </w:rPr>
        <w:t>a</w:t>
      </w:r>
      <w:r w:rsidR="00B26E58" w:rsidRPr="002002DB">
        <w:rPr>
          <w:rFonts w:ascii="Verdana" w:hAnsi="Verdana"/>
          <w:sz w:val="20"/>
          <w:szCs w:val="20"/>
        </w:rPr>
        <w:t xml:space="preserve"> </w:t>
      </w:r>
      <w:r w:rsidR="00950985">
        <w:rPr>
          <w:rFonts w:ascii="Verdana" w:hAnsi="Verdana"/>
          <w:sz w:val="20"/>
          <w:szCs w:val="20"/>
        </w:rPr>
        <w:t>IX</w:t>
      </w:r>
      <w:r w:rsidR="00B26E58">
        <w:rPr>
          <w:rFonts w:ascii="Verdana" w:hAnsi="Verdana"/>
          <w:sz w:val="20"/>
          <w:szCs w:val="20"/>
        </w:rPr>
        <w:t xml:space="preserve"> desta Instrução Normativa</w:t>
      </w:r>
      <w:r w:rsidR="00230826">
        <w:rPr>
          <w:rFonts w:ascii="Verdana" w:hAnsi="Verdana"/>
          <w:sz w:val="20"/>
          <w:szCs w:val="20"/>
        </w:rPr>
        <w:t xml:space="preserve"> de acordo com a tipologia da atividade</w:t>
      </w:r>
      <w:r w:rsidR="00B26E58">
        <w:rPr>
          <w:rFonts w:ascii="Verdana" w:hAnsi="Verdana"/>
          <w:sz w:val="20"/>
          <w:szCs w:val="20"/>
        </w:rPr>
        <w:t>.</w:t>
      </w:r>
    </w:p>
    <w:p w:rsidR="00531217" w:rsidRDefault="00531217" w:rsidP="00B26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1217" w:rsidRDefault="00531217" w:rsidP="00B26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726E">
        <w:rPr>
          <w:rFonts w:ascii="Verdana" w:hAnsi="Verdana"/>
          <w:b/>
          <w:sz w:val="20"/>
          <w:szCs w:val="20"/>
        </w:rPr>
        <w:t>Parágrafo único</w:t>
      </w:r>
      <w:r>
        <w:rPr>
          <w:rFonts w:ascii="Verdana" w:hAnsi="Verdana"/>
          <w:sz w:val="20"/>
          <w:szCs w:val="20"/>
        </w:rPr>
        <w:t>. As condicionantes admi</w:t>
      </w:r>
      <w:r w:rsidR="00950985">
        <w:rPr>
          <w:rFonts w:ascii="Verdana" w:hAnsi="Verdana"/>
          <w:sz w:val="20"/>
          <w:szCs w:val="20"/>
        </w:rPr>
        <w:t xml:space="preserve">nistrativas previstas no anexo </w:t>
      </w:r>
      <w:r>
        <w:rPr>
          <w:rFonts w:ascii="Verdana" w:hAnsi="Verdana"/>
          <w:sz w:val="20"/>
          <w:szCs w:val="20"/>
        </w:rPr>
        <w:t xml:space="preserve">X deverão constar em todas as </w:t>
      </w:r>
      <w:r w:rsidR="00261FA1" w:rsidRPr="00BE2529">
        <w:rPr>
          <w:rFonts w:ascii="Verdana" w:hAnsi="Verdana"/>
          <w:sz w:val="20"/>
          <w:szCs w:val="20"/>
        </w:rPr>
        <w:t>Licenç</w:t>
      </w:r>
      <w:r w:rsidR="00261FA1">
        <w:rPr>
          <w:rFonts w:ascii="Verdana" w:hAnsi="Verdana"/>
          <w:sz w:val="20"/>
          <w:szCs w:val="20"/>
        </w:rPr>
        <w:t>as</w:t>
      </w:r>
      <w:r w:rsidR="00261FA1" w:rsidRPr="00BE2529">
        <w:rPr>
          <w:rFonts w:ascii="Verdana" w:hAnsi="Verdana"/>
          <w:sz w:val="20"/>
          <w:szCs w:val="20"/>
        </w:rPr>
        <w:t xml:space="preserve"> Municipa</w:t>
      </w:r>
      <w:r w:rsidR="00261FA1">
        <w:rPr>
          <w:rFonts w:ascii="Verdana" w:hAnsi="Verdana"/>
          <w:sz w:val="20"/>
          <w:szCs w:val="20"/>
        </w:rPr>
        <w:t>is</w:t>
      </w:r>
      <w:r w:rsidR="00261FA1" w:rsidRPr="00BE2529">
        <w:rPr>
          <w:rFonts w:ascii="Verdana" w:hAnsi="Verdana"/>
          <w:sz w:val="20"/>
          <w:szCs w:val="20"/>
        </w:rPr>
        <w:t xml:space="preserve"> por Compromisso </w:t>
      </w:r>
      <w:r>
        <w:rPr>
          <w:rFonts w:ascii="Verdana" w:hAnsi="Verdana"/>
          <w:sz w:val="20"/>
          <w:szCs w:val="20"/>
        </w:rPr>
        <w:t>independente da tipologia da atividade.</w:t>
      </w:r>
    </w:p>
    <w:p w:rsidR="003D69E7" w:rsidRDefault="003D69E7" w:rsidP="00B26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69E7" w:rsidRDefault="004E498B" w:rsidP="00B26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35C">
        <w:rPr>
          <w:rFonts w:ascii="Verdana" w:hAnsi="Verdana"/>
          <w:b/>
          <w:sz w:val="20"/>
          <w:szCs w:val="20"/>
        </w:rPr>
        <w:t xml:space="preserve">Art. </w:t>
      </w:r>
      <w:r w:rsidR="000E7F1D">
        <w:rPr>
          <w:rFonts w:ascii="Verdana" w:hAnsi="Verdana"/>
          <w:b/>
          <w:sz w:val="20"/>
          <w:szCs w:val="20"/>
        </w:rPr>
        <w:t>3</w:t>
      </w:r>
      <w:r w:rsidRPr="0034635C">
        <w:rPr>
          <w:rFonts w:ascii="Verdana" w:hAnsi="Verdana"/>
          <w:b/>
          <w:sz w:val="20"/>
          <w:szCs w:val="20"/>
        </w:rPr>
        <w:t>°.</w:t>
      </w:r>
      <w:r w:rsidRPr="0034635C">
        <w:rPr>
          <w:rFonts w:ascii="Verdana" w:hAnsi="Verdana"/>
          <w:sz w:val="20"/>
          <w:szCs w:val="20"/>
        </w:rPr>
        <w:t xml:space="preserve"> </w:t>
      </w:r>
      <w:r w:rsidRPr="004E498B">
        <w:rPr>
          <w:rFonts w:ascii="Verdana" w:hAnsi="Verdana"/>
          <w:sz w:val="20"/>
          <w:szCs w:val="20"/>
        </w:rPr>
        <w:t>Em casos especiais, fica a critério da Secretaria Municipal responsável pelas Políticas Públicas de Meio Ambiente acrescentar/suprimir as condicionantes, conforme as peculiaridades da atividade a ser licenciada, bem como seus prazos</w:t>
      </w:r>
      <w:r>
        <w:rPr>
          <w:rFonts w:ascii="Verdana" w:hAnsi="Verdana"/>
          <w:sz w:val="20"/>
          <w:szCs w:val="20"/>
        </w:rPr>
        <w:t>.</w:t>
      </w:r>
    </w:p>
    <w:p w:rsidR="000E7F1D" w:rsidRDefault="000E7F1D" w:rsidP="000E7F1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E7F1D" w:rsidRDefault="000E7F1D" w:rsidP="000E7F1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35C">
        <w:rPr>
          <w:rFonts w:ascii="Verdana" w:hAnsi="Verdana"/>
          <w:b/>
          <w:sz w:val="20"/>
          <w:szCs w:val="20"/>
        </w:rPr>
        <w:t xml:space="preserve">Art. </w:t>
      </w:r>
      <w:r>
        <w:rPr>
          <w:rFonts w:ascii="Verdana" w:hAnsi="Verdana"/>
          <w:b/>
          <w:sz w:val="20"/>
          <w:szCs w:val="20"/>
        </w:rPr>
        <w:t>4</w:t>
      </w:r>
      <w:r w:rsidRPr="0034635C">
        <w:rPr>
          <w:rFonts w:ascii="Verdana" w:hAnsi="Verdana"/>
          <w:b/>
          <w:sz w:val="20"/>
          <w:szCs w:val="20"/>
        </w:rPr>
        <w:t>°.</w:t>
      </w:r>
      <w:r w:rsidRPr="0034635C">
        <w:rPr>
          <w:rFonts w:ascii="Verdana" w:hAnsi="Verdana"/>
          <w:sz w:val="20"/>
          <w:szCs w:val="20"/>
        </w:rPr>
        <w:t xml:space="preserve"> Fica a critério desta Secretaria Municipal Responsável pelas Políticas Públicas do Meio Ambiente a atualização </w:t>
      </w:r>
      <w:r>
        <w:rPr>
          <w:rFonts w:ascii="Verdana" w:hAnsi="Verdana"/>
          <w:sz w:val="20"/>
          <w:szCs w:val="20"/>
        </w:rPr>
        <w:t>da lista de condicionantes</w:t>
      </w:r>
      <w:r w:rsidRPr="0034635C">
        <w:rPr>
          <w:rFonts w:ascii="Verdana" w:hAnsi="Verdana"/>
          <w:sz w:val="20"/>
          <w:szCs w:val="20"/>
        </w:rPr>
        <w:t xml:space="preserve"> quando julgarem necessária.</w:t>
      </w:r>
      <w:r>
        <w:rPr>
          <w:rFonts w:ascii="Verdana" w:hAnsi="Verdana"/>
          <w:sz w:val="20"/>
          <w:szCs w:val="20"/>
        </w:rPr>
        <w:t xml:space="preserve"> </w:t>
      </w:r>
    </w:p>
    <w:p w:rsidR="000E7F1D" w:rsidRPr="0034635C" w:rsidRDefault="000E7F1D" w:rsidP="00B26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2205" w:rsidRDefault="007B2205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062F" w:rsidRPr="005D062F" w:rsidRDefault="005D062F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7BC3">
        <w:rPr>
          <w:rFonts w:ascii="Verdana" w:hAnsi="Verdana"/>
          <w:b/>
          <w:sz w:val="20"/>
          <w:szCs w:val="20"/>
        </w:rPr>
        <w:t xml:space="preserve">Art. </w:t>
      </w:r>
      <w:r w:rsidR="00064023">
        <w:rPr>
          <w:rFonts w:ascii="Verdana" w:hAnsi="Verdana"/>
          <w:b/>
          <w:sz w:val="20"/>
          <w:szCs w:val="20"/>
        </w:rPr>
        <w:t>5</w:t>
      </w:r>
      <w:r w:rsidRPr="009D7BC3">
        <w:rPr>
          <w:rFonts w:ascii="Verdana" w:hAnsi="Verdana"/>
          <w:b/>
          <w:sz w:val="20"/>
          <w:szCs w:val="20"/>
        </w:rPr>
        <w:t>º</w:t>
      </w:r>
      <w:r w:rsidRPr="005D062F">
        <w:rPr>
          <w:rFonts w:ascii="Verdana" w:hAnsi="Verdana"/>
          <w:sz w:val="20"/>
          <w:szCs w:val="20"/>
        </w:rPr>
        <w:t xml:space="preserve">. Esta Instrução Normativa entrará em vigor na data de sua publicação e se aplicará a empreendimentos cujos protocolos forem requeridos a partir da mesma. </w:t>
      </w:r>
    </w:p>
    <w:p w:rsidR="005D062F" w:rsidRPr="005D062F" w:rsidRDefault="005D062F" w:rsidP="001C2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062F" w:rsidRPr="005D062F" w:rsidRDefault="005D062F" w:rsidP="001C2C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14677">
        <w:rPr>
          <w:rFonts w:ascii="Verdana" w:hAnsi="Verdana"/>
          <w:b/>
          <w:sz w:val="20"/>
          <w:szCs w:val="20"/>
        </w:rPr>
        <w:t xml:space="preserve">Art. </w:t>
      </w:r>
      <w:r w:rsidR="00064023">
        <w:rPr>
          <w:rFonts w:ascii="Verdana" w:hAnsi="Verdana"/>
          <w:b/>
          <w:sz w:val="20"/>
          <w:szCs w:val="20"/>
        </w:rPr>
        <w:t>6</w:t>
      </w:r>
      <w:r w:rsidRPr="00414677">
        <w:rPr>
          <w:rFonts w:ascii="Verdana" w:hAnsi="Verdana"/>
          <w:b/>
          <w:sz w:val="20"/>
          <w:szCs w:val="20"/>
        </w:rPr>
        <w:t>º</w:t>
      </w:r>
      <w:r w:rsidRPr="005D062F">
        <w:rPr>
          <w:rFonts w:ascii="Verdana" w:hAnsi="Verdana"/>
          <w:sz w:val="20"/>
          <w:szCs w:val="20"/>
        </w:rPr>
        <w:t>. Revogam-se demais disposições em contrário.</w:t>
      </w:r>
    </w:p>
    <w:p w:rsidR="00823186" w:rsidRPr="00C37A37" w:rsidRDefault="00823186" w:rsidP="001C2C04">
      <w:pPr>
        <w:spacing w:after="0" w:line="240" w:lineRule="auto"/>
        <w:ind w:right="6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4418E6" w:rsidRPr="00C37A37" w:rsidRDefault="004418E6" w:rsidP="004418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C3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218D8" w:rsidRPr="00C37A37" w:rsidRDefault="002218D8" w:rsidP="002218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t-BR"/>
        </w:rPr>
        <w:t>Nome do Município</w:t>
      </w:r>
      <w:r w:rsidRPr="00C3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ES, </w:t>
      </w:r>
      <w:r w:rsidRPr="00C37A37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t-BR"/>
        </w:rPr>
        <w:t>XX</w:t>
      </w:r>
      <w:r w:rsidRPr="00C3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</w:t>
      </w:r>
      <w:r w:rsidRPr="00C37A37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t-BR"/>
        </w:rPr>
        <w:t>XXXXXXX</w:t>
      </w:r>
      <w:r w:rsidRPr="00C3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201</w:t>
      </w:r>
      <w:r w:rsidRPr="00C37A37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t-BR"/>
        </w:rPr>
        <w:t>X</w:t>
      </w:r>
      <w:r w:rsidRPr="00C3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2218D8" w:rsidRPr="00C37A37" w:rsidRDefault="002218D8" w:rsidP="002218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2218D8" w:rsidRPr="00C37A37" w:rsidRDefault="002218D8" w:rsidP="00E8676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lang w:eastAsia="pt-BR"/>
        </w:rPr>
        <w:t xml:space="preserve">NOME </w:t>
      </w:r>
      <w:r w:rsidR="00E8676A" w:rsidRPr="00C37A37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lang w:eastAsia="pt-BR"/>
        </w:rPr>
        <w:t xml:space="preserve">DO SECRETÁRIO RESPONSÁVEL PELA PASTA DE </w:t>
      </w:r>
      <w:r w:rsidR="00E8676A" w:rsidRPr="00C37A37">
        <w:rPr>
          <w:rFonts w:ascii="Verdana" w:eastAsia="Times New Roman" w:hAnsi="Verdana" w:cs="Times New Roman"/>
          <w:b/>
          <w:iCs/>
          <w:color w:val="000000"/>
          <w:sz w:val="20"/>
          <w:szCs w:val="20"/>
          <w:highlight w:val="yellow"/>
          <w:lang w:eastAsia="pt-BR"/>
        </w:rPr>
        <w:t>POLÍTICAS PÚBLI</w:t>
      </w:r>
      <w:r w:rsidR="003D69E7" w:rsidRPr="00D00506">
        <w:rPr>
          <w:rFonts w:ascii="Verdana" w:eastAsia="Times New Roman" w:hAnsi="Verdana" w:cs="Times New Roman"/>
          <w:b/>
          <w:iCs/>
          <w:sz w:val="20"/>
          <w:szCs w:val="20"/>
          <w:highlight w:val="yellow"/>
          <w:lang w:eastAsia="pt-BR"/>
        </w:rPr>
        <w:t>C</w:t>
      </w:r>
      <w:r w:rsidR="00E8676A" w:rsidRPr="00C37A37">
        <w:rPr>
          <w:rFonts w:ascii="Verdana" w:eastAsia="Times New Roman" w:hAnsi="Verdana" w:cs="Times New Roman"/>
          <w:b/>
          <w:iCs/>
          <w:color w:val="000000"/>
          <w:sz w:val="20"/>
          <w:szCs w:val="20"/>
          <w:highlight w:val="yellow"/>
          <w:lang w:eastAsia="pt-BR"/>
        </w:rPr>
        <w:t>AS E MEIO AMBIENTE</w:t>
      </w:r>
    </w:p>
    <w:p w:rsidR="002218D8" w:rsidRPr="00C37A37" w:rsidRDefault="00E8676A" w:rsidP="002218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iCs/>
          <w:color w:val="000000"/>
          <w:sz w:val="20"/>
          <w:szCs w:val="20"/>
          <w:lang w:eastAsia="pt-BR"/>
        </w:rPr>
        <w:t>Secretaria responsável pelas Políticas Públicas de Meio Ambiente</w:t>
      </w:r>
    </w:p>
    <w:p w:rsidR="0057426C" w:rsidRDefault="0057426C" w:rsidP="0020519C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414677" w:rsidRDefault="00C47BDF" w:rsidP="002051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20519C" w:rsidRDefault="006335C5" w:rsidP="002051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Condicionantes para a atividade de lavagem de veículos</w:t>
      </w:r>
    </w:p>
    <w:p w:rsidR="00414677" w:rsidRDefault="00414677" w:rsidP="00414677">
      <w:pPr>
        <w:tabs>
          <w:tab w:val="left" w:pos="3375"/>
        </w:tabs>
      </w:pPr>
    </w:p>
    <w:tbl>
      <w:tblPr>
        <w:tblW w:w="1061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8253"/>
        <w:gridCol w:w="1679"/>
      </w:tblGrid>
      <w:tr w:rsidR="0057426C" w:rsidRPr="0057426C" w:rsidTr="00394D59">
        <w:trPr>
          <w:trHeight w:val="315"/>
        </w:trPr>
        <w:tc>
          <w:tcPr>
            <w:tcW w:w="10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Lavagem de Veículos</w:t>
            </w:r>
          </w:p>
        </w:tc>
      </w:tr>
      <w:tr w:rsidR="0057426C" w:rsidRPr="0057426C" w:rsidTr="00394D59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C64EEF" w:rsidRPr="0057426C" w:rsidTr="00394D59">
        <w:trPr>
          <w:trHeight w:val="12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EEF" w:rsidRPr="0057426C" w:rsidRDefault="00C64EEF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EEF" w:rsidRPr="003A21CA" w:rsidRDefault="00C64EEF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comprovação da destinação final dos efluentes sanitários. Na ausência de rede pública de saneamento básico deverá ser instalado 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e apresentada ART do profissional Responsável.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EEF" w:rsidRPr="003A21CA" w:rsidRDefault="00C64EEF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C64EEF" w:rsidRPr="0057426C" w:rsidTr="00394D59">
        <w:trPr>
          <w:trHeight w:val="12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EEF" w:rsidRPr="0057426C" w:rsidRDefault="00C64EEF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EEF" w:rsidRPr="003A21CA" w:rsidRDefault="00C64EEF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 houver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com lançamento diretamente em corpo hídrico, apresentar Outorga emitida pela AGERH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EF" w:rsidRPr="003A21CA" w:rsidRDefault="00C64EEF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57426C" w:rsidRPr="0057426C" w:rsidTr="00394D59">
        <w:trPr>
          <w:trHeight w:val="686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6C" w:rsidRPr="0057426C" w:rsidRDefault="00F1191F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91F" w:rsidRDefault="00C64EEF" w:rsidP="005742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 veículos deverão ser lavados sobre piso impermeabilizado, e todo efluente deverá ser drenado para um </w:t>
            </w:r>
            <w:r w:rsidR="00F1191F"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Sistema Separador Água e Óleo (SSAO</w:t>
            </w:r>
            <w:r w:rsidR="00F1191F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  <w:p w:rsidR="0057426C" w:rsidRPr="0057426C" w:rsidRDefault="0057426C" w:rsidP="005742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6C" w:rsidRPr="0057426C" w:rsidRDefault="00F1191F" w:rsidP="00F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Imediato</w:t>
            </w:r>
          </w:p>
        </w:tc>
      </w:tr>
      <w:tr w:rsidR="005B750C" w:rsidRPr="0057426C" w:rsidTr="00394D59">
        <w:trPr>
          <w:trHeight w:val="124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50C" w:rsidRPr="0057426C" w:rsidRDefault="005B750C" w:rsidP="005B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50C" w:rsidRDefault="005B750C" w:rsidP="005B75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caracterização físico-química do efluente das caixas do Sistema Separador de Água e Óleo (SSAO), a fim de verificar sua eficiência,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 meio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investigação dos parâmetros: pH, sólidos sedimentáveis, sólidos suspensos, óleos e graxas.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50C" w:rsidRPr="0057426C" w:rsidRDefault="005B750C" w:rsidP="005B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Primeira caracterização 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120 (cento e vinte) dias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A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pós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semestralmente</w:t>
            </w:r>
          </w:p>
        </w:tc>
      </w:tr>
      <w:tr w:rsidR="0057426C" w:rsidRPr="0057426C" w:rsidTr="00394D59">
        <w:trPr>
          <w:trHeight w:val="15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Realizar periodicamente a limpeza e manutenção do Sistema Separador de Água e Óleo (SSAO) a fim de manter a sua eficiência. Os resíduos contaminados e efluentes oleosos resultantes de sua limpeza deverã</w:t>
            </w:r>
            <w:r w:rsidR="008B7094">
              <w:rPr>
                <w:rFonts w:ascii="Calibri" w:eastAsia="Times New Roman" w:hAnsi="Calibri" w:cs="Times New Roman"/>
                <w:color w:val="000000"/>
                <w:lang w:eastAsia="pt-BR"/>
              </w:rPr>
              <w:t>o ser adequadamente armazenados e enviados a empresa licenciada ambientalmente.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6C" w:rsidRPr="0057426C" w:rsidRDefault="00FE7821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  <w:r w:rsidR="0057426C"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B0502F" w:rsidRPr="0057426C" w:rsidTr="00394D59">
        <w:trPr>
          <w:trHeight w:val="15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2F" w:rsidRPr="0057426C" w:rsidRDefault="00B0502F" w:rsidP="00B0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2F" w:rsidRPr="003A21CA" w:rsidRDefault="00B0502F" w:rsidP="00B050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planilha contemplando quantidade e local de destinação de resíduos gerados, inclusive perigosos contaminados com óleo ou graxa, com dados mensais. Os Certificados de destinação final emitidos pela empresa de destino,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2F" w:rsidRPr="003A21CA" w:rsidRDefault="00B0502F" w:rsidP="00B0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cada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120 (cento e vinte) dias. </w:t>
            </w:r>
          </w:p>
        </w:tc>
      </w:tr>
      <w:tr w:rsidR="0057426C" w:rsidRPr="0057426C" w:rsidTr="00394D59">
        <w:trPr>
          <w:trHeight w:val="12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Fica expressamente proibido o despejo de efluente contaminado com óleo ou outros produtos químicos, sem tratamento prévio, na rede coletora de esgoto, na rede pluvial ou em corpos hídricos.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394D59" w:rsidRPr="0057426C" w:rsidTr="00394D59">
        <w:trPr>
          <w:trHeight w:val="12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D59" w:rsidRPr="0057426C" w:rsidRDefault="00DA3DEB" w:rsidP="0008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D59" w:rsidRPr="003A21CA" w:rsidRDefault="00394D59" w:rsidP="00394D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os resíduos sólidos classe I - Perigosos (NBR 10.004)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contaminados com óleo ou graxa deverão estar segregados, armazenados em recipientes em área coberta e impermeabilizada.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D59" w:rsidRDefault="00394D59" w:rsidP="0008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57426C" w:rsidRPr="0057426C" w:rsidTr="00394D59">
        <w:trPr>
          <w:trHeight w:val="12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6C" w:rsidRPr="0057426C" w:rsidRDefault="00DA3DEB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Caso seja utilizada água de poço, efetuar cadastro do Poço de Captação no Cadastro Nacional dos Usuários de Recursos Hídricos (CNARH) e realizar consulta junto a AGERH (Agência Estadual de Recursos Hídricos).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6C" w:rsidRPr="0057426C" w:rsidRDefault="0057426C" w:rsidP="0057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414677" w:rsidRDefault="00414677" w:rsidP="00414677">
      <w:pPr>
        <w:tabs>
          <w:tab w:val="left" w:pos="3375"/>
        </w:tabs>
      </w:pPr>
    </w:p>
    <w:p w:rsidR="00EF24FB" w:rsidRDefault="00EF24FB" w:rsidP="00EF24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ANEXO I</w:t>
      </w:r>
      <w:r w:rsidR="00B534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</w:t>
      </w:r>
    </w:p>
    <w:p w:rsidR="00EF24FB" w:rsidRDefault="00EF24FB" w:rsidP="00EF24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para a atividade de </w:t>
      </w:r>
      <w:r w:rsidR="00B534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oficina mecânica</w:t>
      </w:r>
    </w:p>
    <w:p w:rsidR="00414677" w:rsidRDefault="00414677" w:rsidP="00414677"/>
    <w:tbl>
      <w:tblPr>
        <w:tblW w:w="10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355"/>
        <w:gridCol w:w="1613"/>
      </w:tblGrid>
      <w:tr w:rsidR="00EF24FB" w:rsidRPr="00EF24FB" w:rsidTr="00E40715">
        <w:trPr>
          <w:trHeight w:val="315"/>
        </w:trPr>
        <w:tc>
          <w:tcPr>
            <w:tcW w:w="10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F24FB" w:rsidRPr="00EF24FB" w:rsidRDefault="00EF24FB" w:rsidP="00EF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Oficina Mecânica</w:t>
            </w:r>
          </w:p>
        </w:tc>
      </w:tr>
      <w:tr w:rsidR="00EF24FB" w:rsidRPr="00EF24FB" w:rsidTr="00E40715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24FB" w:rsidRPr="00EF24FB" w:rsidRDefault="00EF24FB" w:rsidP="00EF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F24FB" w:rsidRPr="00EF24FB" w:rsidRDefault="00EF24FB" w:rsidP="00EF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Condicionantes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24FB" w:rsidRPr="00EF24FB" w:rsidRDefault="00EF24FB" w:rsidP="00EF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616B33" w:rsidRPr="00EF24FB" w:rsidTr="00E40715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27136E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33" w:rsidRPr="003A21CA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comprovação da destinação final dos efluentes sanitários. Na ausência de rede pública de saneamento básico deverá ser instalado 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e apresentada ART do profissional Responsável.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3A21CA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616B33" w:rsidRPr="00EF24FB" w:rsidTr="00E40715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33" w:rsidRPr="00EF24FB" w:rsidRDefault="0027136E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33" w:rsidRPr="003A21CA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 houver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com lançamento diretamente em corpo hídrico, apresentar Outorga emitida pela AGERH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B33" w:rsidRPr="003A21CA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616B33" w:rsidRPr="00EF24FB" w:rsidTr="00E40715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B33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manutenção dos veículos deverá ser realizada sobre piso impermeabilizado, cuja drenagem deverá ser direcionada para um 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Sistema Separador Água e Óleo (SSAO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  <w:p w:rsidR="00616B33" w:rsidRPr="0057426C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B33" w:rsidRPr="0057426C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Imediato</w:t>
            </w:r>
          </w:p>
        </w:tc>
      </w:tr>
      <w:tr w:rsidR="00DB2F85" w:rsidRPr="00EF24FB" w:rsidTr="00E40715">
        <w:trPr>
          <w:trHeight w:val="6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F85" w:rsidRPr="00EF24FB" w:rsidRDefault="00DB2F85" w:rsidP="00DB2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F85" w:rsidRDefault="00DB2F85" w:rsidP="007231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caracterização físico-química do efluente das caixas do Sistema Separador de Água e Óleo (SSAO), a fim de verificar sua eficiência, </w:t>
            </w:r>
            <w:r w:rsidR="00C94148">
              <w:rPr>
                <w:rFonts w:ascii="Calibri" w:eastAsia="Times New Roman" w:hAnsi="Calibri" w:cs="Times New Roman"/>
                <w:color w:val="000000"/>
                <w:lang w:eastAsia="pt-BR"/>
              </w:rPr>
              <w:t>por meio</w:t>
            </w:r>
            <w:r w:rsidR="007231D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análise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parâmetros: pH, sólidos sedimentáveis, sólidos suspensos, óleos e graxas.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F85" w:rsidRPr="0057426C" w:rsidRDefault="00DB2F85" w:rsidP="00D87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Primeira caracterização 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120 (cento e vinte) dias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A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pós </w:t>
            </w:r>
            <w:r w:rsidR="00D87F5A">
              <w:rPr>
                <w:rFonts w:ascii="Calibri" w:eastAsia="Times New Roman" w:hAnsi="Calibri" w:cs="Times New Roman"/>
                <w:color w:val="000000"/>
                <w:lang w:eastAsia="pt-BR"/>
              </w:rPr>
              <w:t>semestralmente</w:t>
            </w:r>
          </w:p>
        </w:tc>
      </w:tr>
      <w:tr w:rsidR="00DB2F85" w:rsidRPr="00EF24FB" w:rsidTr="00E40715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F85" w:rsidRPr="00EF24FB" w:rsidRDefault="00DB2F85" w:rsidP="00DB2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F85" w:rsidRPr="0057426C" w:rsidRDefault="00DB2F85" w:rsidP="00DB2F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Realizar periodicamente a limpeza e manutenção do Sistema Separador de Água e Óleo (SSAO) a fim de manter a sua eficiência. Os resíduos contaminados e efluentes oleosos resultantes de sua limpeza deverã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 ser adequadamente armazenados e enviados a empresa licenciada ambientalmente.</w:t>
            </w:r>
            <w:r w:rsidR="004E7F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Os Certificados de destinação final emitidos pela empresa de destino, deverão estar </w:t>
            </w:r>
            <w:proofErr w:type="spellStart"/>
            <w:r w:rsidR="004E7FF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 w:rsidR="004E7F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F85" w:rsidRPr="0057426C" w:rsidRDefault="00DB2F85" w:rsidP="00DB2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616B33" w:rsidRPr="00EF24FB" w:rsidTr="00E40715">
        <w:trPr>
          <w:trHeight w:val="12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4E7FFD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Fica expressamente proibido o despejo de efluente contaminado com óleo ou outros produtos químicos, sem tratamento prévio, na rede coletora de esgoto, na rede pluvial ou em corpos hídricos.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616B33" w:rsidRPr="00EF24FB" w:rsidTr="00E40715">
        <w:trPr>
          <w:trHeight w:val="12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4E7FFD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Todo óleo lubrificante usado deverá ser armazenado em recipiente estanque, devidamente identificado. A coleta, transporte e destinação final deverá ser efetuada por empresa devidamente licenciada em órgão ambiental competente.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E40715" w:rsidRPr="00EF24FB" w:rsidTr="00E40715">
        <w:trPr>
          <w:trHeight w:val="12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715" w:rsidRPr="00EF24FB" w:rsidRDefault="004E7FFD" w:rsidP="00E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715" w:rsidRPr="003A21CA" w:rsidRDefault="00E40715" w:rsidP="00E407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planilha contemplando quantidade e local de destinação dos resíduos</w:t>
            </w:r>
            <w:r w:rsidR="007E7F7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gerados, inclusive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perigosos contaminados com óleo ou graxa, com dados mensais. Os Certificados de destinação final emitidos pela empresa de destino,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715" w:rsidRPr="003A21CA" w:rsidRDefault="00E40715" w:rsidP="00E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cada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120 (cento e vinte) dias. </w:t>
            </w:r>
          </w:p>
        </w:tc>
      </w:tr>
      <w:tr w:rsidR="00616B33" w:rsidRPr="00EF24FB" w:rsidTr="0051486C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4E7FFD" w:rsidP="004E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É proibido encaminhar para a coleta pública municipal os resíduos sólidos classe I - Perigosos (NBR 10.004). Estes devem ser separados, armazenados e identificados em recipiente estanque e em área impermeabilizada e coberta.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616B33" w:rsidRPr="00EF24FB" w:rsidTr="0051486C">
        <w:trPr>
          <w:trHeight w:val="21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4E7FFD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As peças inservíveis provenientes dos serviços realizados na oficina deverão ser armazenadas de forma adequada, em local coberto e com piso impermeabilizado, e encaminhadas para empresa devidamente licenciada em órgão ambiental competente visando preferencialmente a sua reciclagem. Manter os recibos comprobatórios arquivados nas dependências da empresa.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616B33" w:rsidRPr="00EF24FB" w:rsidTr="0051486C">
        <w:trPr>
          <w:trHeight w:val="18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4E7FFD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616B33" w:rsidP="00E407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CASO</w:t>
            </w: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haja pintura, as operações deverão ser realizadas em cabine apropriada, provida de sistema de exaustão e de equipamento eficiente para a retenção de material particulado e substâncias voláteis. Apresentar Anotação de Responsabilidade Técnica (ART), emitida por profissional </w:t>
            </w:r>
            <w:r w:rsidR="00E40715"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 pela cabine</w:t>
            </w: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120 (cento e vinte) dias</w:t>
            </w:r>
          </w:p>
        </w:tc>
      </w:tr>
      <w:tr w:rsidR="00616B33" w:rsidRPr="00EF24FB" w:rsidTr="00E40715">
        <w:trPr>
          <w:trHeight w:val="15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B33" w:rsidRPr="00EF24FB" w:rsidRDefault="00616B33" w:rsidP="004E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4E7FF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Os resíduos provenientes da limpeza e manutenção da cabine de pintura deverão ser armazenados e destinados por empresa devidamente licenciada em órgão ambiental competente. Manter os recibos comprobatórios arquivados nas dependências da empresa.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B33" w:rsidRPr="00EF24FB" w:rsidRDefault="00616B33" w:rsidP="0061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C456EE" w:rsidRDefault="00C456EE" w:rsidP="0060510C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A54E88" w:rsidRPr="00E479EF" w:rsidRDefault="00A54E88" w:rsidP="00A54E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E479E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ANEXO III</w:t>
      </w:r>
    </w:p>
    <w:p w:rsidR="00A54E88" w:rsidRDefault="00A54E88" w:rsidP="00A54E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para a atividade de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fabricação de estruturas me</w:t>
      </w:r>
      <w:r w:rsidRPr="00A54E88">
        <w:rPr>
          <w:rFonts w:ascii="Calibri" w:eastAsia="Times New Roman" w:hAnsi="Calibri" w:cs="Times New Roman"/>
          <w:b/>
          <w:bCs/>
          <w:color w:val="000000"/>
          <w:lang w:eastAsia="pt-BR"/>
        </w:rPr>
        <w:t>tálicas</w:t>
      </w:r>
    </w:p>
    <w:p w:rsidR="00A54E88" w:rsidRDefault="00A54E88" w:rsidP="0060510C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8347"/>
        <w:gridCol w:w="1372"/>
      </w:tblGrid>
      <w:tr w:rsidR="00A54E88" w:rsidRPr="00A54E88" w:rsidTr="00F84CC4">
        <w:trPr>
          <w:trHeight w:val="315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Fabricação de Estruturas Metálicas</w:t>
            </w:r>
          </w:p>
        </w:tc>
      </w:tr>
      <w:tr w:rsidR="00A54E88" w:rsidRPr="00A54E88" w:rsidTr="00F84CC4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A54E88" w:rsidRPr="00A54E88" w:rsidTr="00F84CC4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88" w:rsidRPr="00A54E88" w:rsidRDefault="002F1B31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E88" w:rsidRPr="00A54E88" w:rsidRDefault="00F84CC4" w:rsidP="00A54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comprovação da destinação final dos efluentes sanitários. Na ausência de rede pública de saneamento básico deverá ser instalado 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e apresentada ART do profissional Responsável.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C8745C" w:rsidRPr="00A54E88" w:rsidTr="00F84CC4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45C" w:rsidRPr="00A54E88" w:rsidRDefault="002F1B31" w:rsidP="00C8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45C" w:rsidRPr="003A21CA" w:rsidRDefault="00C8745C" w:rsidP="00C874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planilha contemplando quantidade e local de destinação dos resíduos perigosos contaminados com óleo ou graxa, com dados mensais. Os Certificados de destinação final emitidos pela empresa de destino,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45C" w:rsidRPr="003A21CA" w:rsidRDefault="00C8745C" w:rsidP="00C8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cada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120 (cento e vinte) dias. </w:t>
            </w:r>
          </w:p>
        </w:tc>
      </w:tr>
      <w:tr w:rsidR="00A54E88" w:rsidRPr="00A54E88" w:rsidTr="00F84CC4">
        <w:trPr>
          <w:trHeight w:val="124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88" w:rsidRPr="00A54E88" w:rsidRDefault="002F1B31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É proibido encaminhar para a coleta pública municipal os resíduos sólidos classe I - Perigosos (NBR 10.004). Estes devem ser separados, armazenados e identificados em recipiente estanque e em área impermeabilizada e coberta.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A54E88" w:rsidRPr="00A54E88" w:rsidTr="00F84CC4">
        <w:trPr>
          <w:trHeight w:val="165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88" w:rsidRPr="00A54E88" w:rsidRDefault="002F1B31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E88" w:rsidRPr="00A54E88" w:rsidRDefault="00A54E88" w:rsidP="002713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 resíduos metálicos recicláveis deverão ser segregados, acondicionados e identificados de forma correta, em local coberto e com piso </w:t>
            </w:r>
            <w:r w:rsidR="008A4957"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impermeável, e</w:t>
            </w: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encaminha-los preferencialmente para empresa que efetuem sua reciclagem. </w:t>
            </w:r>
            <w:r w:rsidR="0027136E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documentação co</w:t>
            </w:r>
            <w:r w:rsidR="002713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mprobatória da destinação final deverá estar </w:t>
            </w:r>
            <w:proofErr w:type="spellStart"/>
            <w:r w:rsidR="0027136E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 w:rsidR="002713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90 (noventa) dias (Anualmente)</w:t>
            </w:r>
          </w:p>
        </w:tc>
      </w:tr>
      <w:tr w:rsidR="00A54E88" w:rsidRPr="00A54E88" w:rsidTr="005B7D09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88" w:rsidRPr="00A54E88" w:rsidRDefault="002F1B31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Fica expressamente proibido o despejo de efluente contaminado com óleo ou outros produtos químicos, sem tratamento prévio, na rede coletora de esgoto,</w:t>
            </w:r>
            <w:r w:rsidR="006E3D0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solo,</w:t>
            </w: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 rede pluvial ou em corpos hídricos.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E479EF" w:rsidRPr="00A54E88" w:rsidTr="005B7D09">
        <w:trPr>
          <w:trHeight w:val="18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9EF" w:rsidRPr="00A54E88" w:rsidRDefault="002F1B31" w:rsidP="00E4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9EF" w:rsidRPr="00EF24FB" w:rsidRDefault="00E479EF" w:rsidP="00E479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CASO</w:t>
            </w: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haja pintura, as operações deverão ser realizadas em cabine apropriada, provida de sistema de exaustão e de equipamento eficiente para a retenção de material particulado e substâncias voláteis. Apresentar Anotação de Responsabilidade Técnica (ART), emitida por profissional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 pela cabine</w:t>
            </w: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F" w:rsidRPr="00EF24FB" w:rsidRDefault="00C77D0E" w:rsidP="00E47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E479EF"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0 (cento e vinte) dias</w:t>
            </w:r>
          </w:p>
        </w:tc>
      </w:tr>
      <w:tr w:rsidR="00A54E88" w:rsidRPr="00A54E88" w:rsidTr="005B7D09">
        <w:trPr>
          <w:trHeight w:val="1515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88" w:rsidRPr="00A54E88" w:rsidRDefault="002F1B31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Os resíduos provenientes da limpeza e manutenção da cabine de pintura deverão ser armazenados e destinados por empresa devidamente licenciada em órgão ambiental competente. Manter os recibos comprobatórios arquivados nas dependências da empresa.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E88" w:rsidRPr="00A54E88" w:rsidRDefault="00A54E88" w:rsidP="00A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7F11D2" w:rsidRDefault="007F11D2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B96350" w:rsidRDefault="00B96350" w:rsidP="00B963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C37A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I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</w:t>
      </w:r>
    </w:p>
    <w:p w:rsidR="00B96350" w:rsidRDefault="00B96350" w:rsidP="00B9635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para a atividade de </w:t>
      </w:r>
      <w:r w:rsidR="002E7BF7">
        <w:rPr>
          <w:rFonts w:ascii="Calibri" w:eastAsia="Times New Roman" w:hAnsi="Calibri" w:cs="Times New Roman"/>
          <w:b/>
          <w:bCs/>
          <w:color w:val="000000"/>
          <w:lang w:eastAsia="pt-BR"/>
        </w:rPr>
        <w:t>fabricação de móveis</w:t>
      </w:r>
    </w:p>
    <w:p w:rsidR="00B96350" w:rsidRDefault="00B96350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8347"/>
        <w:gridCol w:w="1372"/>
      </w:tblGrid>
      <w:tr w:rsidR="00B96350" w:rsidRPr="00B96350" w:rsidTr="0096601F">
        <w:trPr>
          <w:trHeight w:val="315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Fabricação de Móveis</w:t>
            </w:r>
          </w:p>
        </w:tc>
      </w:tr>
      <w:tr w:rsidR="00B96350" w:rsidRPr="00B96350" w:rsidTr="0096601F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Condicionantes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96601F" w:rsidRPr="00B96350" w:rsidTr="0096601F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1F" w:rsidRPr="00B96350" w:rsidRDefault="00C77D0E" w:rsidP="009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01F" w:rsidRPr="00A54E88" w:rsidRDefault="0096601F" w:rsidP="00966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comprovação da destinação final dos efluentes sanitários. Na ausência de rede pública de saneamento básico deverá ser instalado 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e apresentada ART do profissional Responsável.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1F" w:rsidRPr="00A54E88" w:rsidRDefault="0096601F" w:rsidP="009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4E88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B96350" w:rsidRPr="00B96350" w:rsidTr="0096601F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350" w:rsidRPr="00B96350" w:rsidRDefault="00C77D0E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Apresentar Registro de Consumidor, Processador e Comerciante de Produtos e Subprodutos Florestais expedidos pelo IDAF, conforme estabelecido no Decreto Estadual nº 608-R de 09/03/2001.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120 (cento e vinte) dias (Anualmente)</w:t>
            </w:r>
          </w:p>
        </w:tc>
      </w:tr>
      <w:tr w:rsidR="00B96350" w:rsidRPr="00B96350" w:rsidTr="0096601F">
        <w:trPr>
          <w:trHeight w:val="187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350" w:rsidRPr="00B96350" w:rsidRDefault="00C77D0E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50" w:rsidRPr="00B96350" w:rsidRDefault="00B96350" w:rsidP="00CD21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 resíduos recicláveis tais como papel, plástico, papelão, metal e madeira deverão ser </w:t>
            </w:r>
            <w:r w:rsidR="00180B2D">
              <w:rPr>
                <w:rFonts w:ascii="Calibri" w:eastAsia="Times New Roman" w:hAnsi="Calibri" w:cs="Times New Roman"/>
                <w:color w:val="000000"/>
                <w:lang w:eastAsia="pt-BR"/>
              </w:rPr>
              <w:t>destinados à reciclagem e</w:t>
            </w:r>
            <w:r w:rsidR="00CD216E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="00180B2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preferencialmente encaminhados </w:t>
            </w:r>
            <w:r w:rsidR="00CD216E">
              <w:rPr>
                <w:rFonts w:ascii="Calibri" w:eastAsia="Times New Roman" w:hAnsi="Calibri" w:cs="Times New Roman"/>
                <w:color w:val="000000"/>
                <w:lang w:eastAsia="pt-BR"/>
              </w:rPr>
              <w:t>à</w:t>
            </w:r>
            <w:r w:rsidR="00E97AD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Associações de Catadores</w:t>
            </w: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, conforme preconiza a Lei Nº 12.305/2010 (Política Nacional de Resíduos Sólidos). Os recibos comprobatórios deverão ser mantidos arquivados nas dependências da empresa.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96601F" w:rsidRPr="00B96350" w:rsidTr="0096601F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1F" w:rsidRPr="00B96350" w:rsidRDefault="00C77D0E" w:rsidP="009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01F" w:rsidRPr="003A21CA" w:rsidRDefault="00D05175" w:rsidP="00D051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="0096601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esíduos sólidos Classe I - perigosos (NBR 10.004) contaminados com óleo ou graxa,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deverão ser enviados a empresas licenciadas para recebimento desse tipo de material</w:t>
            </w:r>
            <w:r w:rsidR="0096601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Os Certificados de destinação final emitidos pela empresa de destino, deverão estar </w:t>
            </w:r>
            <w:proofErr w:type="spellStart"/>
            <w:r w:rsidR="0096601F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 w:rsidR="0096601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01F" w:rsidRPr="003A21CA" w:rsidRDefault="00D05175" w:rsidP="00966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  <w:r w:rsidR="0096601F"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B96350" w:rsidRPr="00B96350" w:rsidTr="0039666E">
        <w:trPr>
          <w:trHeight w:val="124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350" w:rsidRPr="00B96350" w:rsidRDefault="00C77D0E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É proibido encaminhar para a coleta pública municipal os resíduos sólidos classe I - Perigosos (NBR 10.004). Estes devem ser separados, armazenados e identificados em recipiente estanque e em área impermeabilizada e coberta.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B96350" w:rsidRPr="00B96350" w:rsidTr="0039666E">
        <w:trPr>
          <w:trHeight w:val="12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350" w:rsidRPr="00B96350" w:rsidRDefault="00C77D0E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 resíduos de pó de serra e restos de madeira deverão ser armazenados em área coberta e destinados de forma ambientalmente correta. </w:t>
            </w:r>
            <w:r w:rsidR="00E041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 Certificados de destinação final emitidos pela empresa de destino, deverão estar </w:t>
            </w:r>
            <w:proofErr w:type="spellStart"/>
            <w:r w:rsidR="00E0411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 w:rsidR="00E041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50" w:rsidRPr="00B96350" w:rsidRDefault="00E04118" w:rsidP="00E0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C77D0E" w:rsidRPr="00B96350" w:rsidTr="0039666E">
        <w:trPr>
          <w:trHeight w:val="1815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D0E" w:rsidRPr="00B96350" w:rsidRDefault="00C77D0E" w:rsidP="00C7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D0E" w:rsidRPr="00EF24FB" w:rsidRDefault="00C77D0E" w:rsidP="00C77D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24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CASO</w:t>
            </w: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haja pintura, as operações deverão ser realizadas em cabine apropriada, provida de sistema de exaustão e de equipamento eficiente para a retenção de material particulado e substâncias voláteis. Apresentar Anotação de Responsabilidade Técnica (ART), emitida por profissional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 pela cabine</w:t>
            </w: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0E" w:rsidRPr="00EF24FB" w:rsidRDefault="00C77D0E" w:rsidP="00C77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EF24FB">
              <w:rPr>
                <w:rFonts w:ascii="Calibri" w:eastAsia="Times New Roman" w:hAnsi="Calibri" w:cs="Times New Roman"/>
                <w:color w:val="000000"/>
                <w:lang w:eastAsia="pt-BR"/>
              </w:rPr>
              <w:t>0 (cento e vinte) dias</w:t>
            </w:r>
          </w:p>
        </w:tc>
      </w:tr>
      <w:tr w:rsidR="00B96350" w:rsidRPr="00B96350" w:rsidTr="0096601F">
        <w:trPr>
          <w:trHeight w:val="15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350" w:rsidRPr="00B96350" w:rsidRDefault="00C77D0E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Os resíduos provenientes da limpeza e manutenção da cabine de pintura deverão ser armazenados e destinados por empresa devidamente licenciada em órgão ambiental competente. Manter os recibos comprobatórios arquivados nas dependências da empresa.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0" w:rsidRPr="00B96350" w:rsidRDefault="00B96350" w:rsidP="00B9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350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B96350" w:rsidRDefault="00B96350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A05A8C" w:rsidRDefault="00A05A8C" w:rsidP="00A05A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V</w:t>
      </w:r>
    </w:p>
    <w:p w:rsidR="00A05A8C" w:rsidRDefault="00A05A8C" w:rsidP="00A05A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para a atividade de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terraplenagem</w:t>
      </w:r>
    </w:p>
    <w:p w:rsidR="00A05A8C" w:rsidRDefault="00A05A8C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415"/>
        <w:gridCol w:w="1276"/>
      </w:tblGrid>
      <w:tr w:rsidR="00A05A8C" w:rsidRPr="00A05A8C" w:rsidTr="00A05A8C">
        <w:trPr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Terraple</w:t>
            </w:r>
            <w:r w:rsidRPr="00A05A8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nagem</w:t>
            </w:r>
          </w:p>
        </w:tc>
      </w:tr>
      <w:tr w:rsidR="00A05A8C" w:rsidRPr="00A05A8C" w:rsidTr="00A05A8C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A05A8C" w:rsidRPr="00A05A8C" w:rsidTr="00C85F0C">
        <w:trPr>
          <w:trHeight w:val="947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Esta licença ambiental autoriza única e </w:t>
            </w:r>
            <w:r w:rsidRPr="00A05A8C">
              <w:rPr>
                <w:rFonts w:ascii="Calibri" w:eastAsia="Times New Roman" w:hAnsi="Calibri" w:cs="Times New Roman"/>
                <w:lang w:eastAsia="pt-BR"/>
              </w:rPr>
              <w:t xml:space="preserve">exclusivamente a terraplanagem (corte e/ou aterro) identificados no processo Nº </w:t>
            </w:r>
            <w:proofErr w:type="spellStart"/>
            <w:r w:rsidRPr="00A05A8C">
              <w:rPr>
                <w:rFonts w:ascii="Calibri" w:eastAsia="Times New Roman" w:hAnsi="Calibri" w:cs="Times New Roman"/>
                <w:lang w:eastAsia="pt-BR"/>
              </w:rPr>
              <w:t>xxxxx</w:t>
            </w:r>
            <w:proofErr w:type="spellEnd"/>
            <w:r w:rsidRPr="00A05A8C">
              <w:rPr>
                <w:rFonts w:ascii="Calibri" w:eastAsia="Times New Roman" w:hAnsi="Calibri" w:cs="Times New Roman"/>
                <w:lang w:eastAsia="pt-BR"/>
              </w:rPr>
              <w:t xml:space="preserve">, em </w:t>
            </w:r>
            <w:r w:rsidR="00CF3AA4" w:rsidRPr="00A67927">
              <w:rPr>
                <w:rFonts w:ascii="Calibri" w:eastAsia="Times New Roman" w:hAnsi="Calibri" w:cs="Times New Roman"/>
                <w:lang w:eastAsia="pt-BR"/>
              </w:rPr>
              <w:t>área</w:t>
            </w:r>
            <w:r w:rsidRPr="00A05A8C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A05A8C">
              <w:rPr>
                <w:rFonts w:ascii="Calibri" w:eastAsia="Times New Roman" w:hAnsi="Calibri" w:cs="Times New Roman"/>
                <w:lang w:eastAsia="pt-BR"/>
              </w:rPr>
              <w:t>xxx</w:t>
            </w:r>
            <w:proofErr w:type="spellEnd"/>
            <w:r w:rsidRPr="00A05A8C">
              <w:rPr>
                <w:rFonts w:ascii="Calibri" w:eastAsia="Times New Roman" w:hAnsi="Calibri" w:cs="Times New Roman"/>
                <w:lang w:eastAsia="pt-BR"/>
              </w:rPr>
              <w:t xml:space="preserve"> m², coordenadas </w:t>
            </w:r>
            <w:proofErr w:type="spellStart"/>
            <w:r w:rsidRPr="00A05A8C">
              <w:rPr>
                <w:rFonts w:ascii="Calibri" w:eastAsia="Times New Roman" w:hAnsi="Calibri" w:cs="Times New Roman"/>
                <w:lang w:eastAsia="pt-BR"/>
              </w:rPr>
              <w:t>xxxxxxx</w:t>
            </w:r>
            <w:proofErr w:type="spellEnd"/>
            <w:r w:rsidRPr="00A05A8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A05A8C">
              <w:rPr>
                <w:rFonts w:ascii="Calibri" w:eastAsia="Times New Roman" w:hAnsi="Calibri" w:cs="Times New Roman"/>
                <w:lang w:eastAsia="pt-BR"/>
              </w:rPr>
              <w:t>xxxxxxx</w:t>
            </w:r>
            <w:proofErr w:type="spellEnd"/>
            <w:r w:rsidRPr="00A05A8C">
              <w:rPr>
                <w:rFonts w:ascii="Calibri" w:eastAsia="Times New Roman" w:hAnsi="Calibri" w:cs="Times New Roman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A05A8C" w:rsidRPr="00A05A8C" w:rsidTr="00C85F0C">
        <w:trPr>
          <w:trHeight w:val="833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A8C" w:rsidRPr="00A05A8C" w:rsidRDefault="00A05A8C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Esta licença ambiental </w:t>
            </w:r>
            <w:r w:rsidRPr="00A05A8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NÃO</w:t>
            </w: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autoriza o comércio de material mineral que, porventura, venha a ser retirada do local. Para a comercialização do material mineral é necessária autorização do Departamento Nacional de Produção Mineral - DNPM.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A05A8C" w:rsidRPr="00A05A8C" w:rsidTr="00673DDF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707148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081E25" w:rsidP="00D629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Executar a atividade </w:t>
            </w:r>
            <w:r w:rsidR="00FE0ED2">
              <w:rPr>
                <w:rFonts w:ascii="Calibri" w:eastAsia="Times New Roman" w:hAnsi="Calibri" w:cs="Times New Roman"/>
                <w:color w:val="000000"/>
                <w:lang w:eastAsia="pt-BR"/>
              </w:rPr>
              <w:t>de acordo com</w:t>
            </w:r>
            <w:r w:rsidR="00FE19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081E25">
              <w:rPr>
                <w:rFonts w:ascii="Calibri" w:eastAsia="Times New Roman" w:hAnsi="Calibri" w:cs="Times New Roman"/>
                <w:color w:val="000000"/>
                <w:lang w:eastAsia="pt-BR"/>
              </w:rPr>
              <w:t>planta </w:t>
            </w:r>
            <w:r w:rsidR="0044370C">
              <w:rPr>
                <w:rFonts w:ascii="Calibri" w:eastAsia="Times New Roman" w:hAnsi="Calibri" w:cs="Times New Roman"/>
                <w:color w:val="000000"/>
                <w:lang w:eastAsia="pt-BR"/>
              </w:rPr>
              <w:t>topográfica</w:t>
            </w:r>
            <w:r w:rsidRPr="00081E2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713E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apresentada </w:t>
            </w:r>
            <w:r w:rsidR="00D629AA">
              <w:rPr>
                <w:rFonts w:ascii="Calibri" w:eastAsia="Times New Roman" w:hAnsi="Calibri" w:cs="Times New Roman"/>
                <w:color w:val="000000"/>
                <w:lang w:eastAsia="pt-BR"/>
              </w:rPr>
              <w:t>quando da abertura do processo.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0D56D2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A05A8C" w:rsidRPr="00A05A8C" w:rsidTr="00673DDF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707148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A8C" w:rsidRPr="00A05A8C" w:rsidRDefault="00673DDF" w:rsidP="00673D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 w:rsidR="00A81B50">
              <w:rPr>
                <w:rFonts w:ascii="Calibri" w:eastAsia="Times New Roman" w:hAnsi="Calibri" w:cs="Times New Roman"/>
                <w:color w:val="000000"/>
                <w:lang w:eastAsia="pt-BR"/>
              </w:rPr>
              <w:t>ART de execução das obras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673DDF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 dias</w:t>
            </w:r>
          </w:p>
        </w:tc>
      </w:tr>
      <w:tr w:rsidR="00A05A8C" w:rsidRPr="00A05A8C" w:rsidTr="00A05A8C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707148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4842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Delimitar por meio de estacas de, no mínimo, 1,50 (um metro e cinquenta centímetros) de altura, pintadas de branco, os vértices da</w:t>
            </w:r>
            <w:r w:rsidR="004842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poligonal da área licenciada.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Antes do início das atividades</w:t>
            </w:r>
          </w:p>
        </w:tc>
      </w:tr>
      <w:tr w:rsidR="00A05A8C" w:rsidRPr="00A05A8C" w:rsidTr="00A05A8C">
        <w:trPr>
          <w:trHeight w:val="100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707148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A8C" w:rsidRPr="00A05A8C" w:rsidRDefault="00A05A8C" w:rsidP="00AB67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cópia da licença </w:t>
            </w:r>
            <w:r w:rsidRPr="00A05A8C">
              <w:rPr>
                <w:rFonts w:ascii="Calibri" w:eastAsia="Times New Roman" w:hAnsi="Calibri" w:cs="Times New Roman"/>
                <w:lang w:eastAsia="pt-BR"/>
              </w:rPr>
              <w:t>ambiental da</w:t>
            </w:r>
            <w:r w:rsidR="00AB678F">
              <w:rPr>
                <w:rFonts w:ascii="Calibri" w:eastAsia="Times New Roman" w:hAnsi="Calibri" w:cs="Times New Roman"/>
                <w:lang w:eastAsia="pt-BR"/>
              </w:rPr>
              <w:t xml:space="preserve"> área de empréstimo e/bota-fora.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A05A8C" w:rsidRPr="00A05A8C" w:rsidTr="00A05A8C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707148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Adotar medidas eficazes de controle ambiental quanto ao aporte de sedimentos para as vias</w:t>
            </w:r>
            <w:r w:rsidR="002F2B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emissão de particulados na atmosfera </w:t>
            </w: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sistema de drenagem próximos ao empreendimento;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A05A8C" w:rsidRPr="00A05A8C" w:rsidTr="00A05A8C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707148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transporte do material da obra deve ser realizado em veículos devidamente </w:t>
            </w:r>
            <w:proofErr w:type="spellStart"/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lonados</w:t>
            </w:r>
            <w:proofErr w:type="spellEnd"/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objetivando evitar o derramamento nas vias públicas.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A05A8C" w:rsidRPr="00A05A8C" w:rsidTr="003C3D99">
        <w:trPr>
          <w:trHeight w:val="96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707148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Realizar sinalização da movimentação de máquinas e veículos no entorno do empreendimento, para evitar possíveis acidentes entre os usuários das vias utilizadas na obra.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3C3D99" w:rsidRPr="00A05A8C" w:rsidTr="003C3D99">
        <w:trPr>
          <w:trHeight w:val="96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D99" w:rsidRDefault="00B3117A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D99" w:rsidRPr="00A05A8C" w:rsidRDefault="003C3D99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Somente poderá ser utilizado para aterro material Classe II – B Inerte, NBR 10.004, ou Classe A, Resolução Conama </w:t>
            </w:r>
            <w:r w:rsidR="00B3117A">
              <w:rPr>
                <w:rFonts w:ascii="Calibri" w:eastAsia="Times New Roman" w:hAnsi="Calibri" w:cs="Times New Roman"/>
                <w:color w:val="000000"/>
                <w:lang w:eastAsia="pt-BR"/>
              </w:rPr>
              <w:t>307/2002.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99" w:rsidRPr="00A05A8C" w:rsidRDefault="00B3117A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A05A8C" w:rsidRPr="00A05A8C" w:rsidTr="003C3D99">
        <w:trPr>
          <w:trHeight w:val="9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B3117A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Manter canal de comunicação aberto com a comunidade próxima do empreendimento, para correção/mitigação de possíveis transtornos causados pelos serviços.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454F0" w:rsidRPr="00A05A8C" w:rsidTr="00A05A8C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F0" w:rsidRDefault="00B3117A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8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F0" w:rsidRPr="00A05A8C" w:rsidRDefault="008454F0" w:rsidP="008454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 manutenção de máquinas e equipamentos deverá ser realizada em local próprio e licenciado, sendo proibida a realização na área estabelecida nesta licença.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F0" w:rsidRPr="00A05A8C" w:rsidRDefault="008454F0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05A8C" w:rsidRPr="00A05A8C" w:rsidTr="00A05A8C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B3117A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CASO</w:t>
            </w: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haja necessidade supressão de vegetação, deverá ser obtida autorização junto ao órgão competente, apresentando documento comprobatório antes de qualquer intervenção.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A8C" w:rsidRPr="00A05A8C" w:rsidRDefault="00A05A8C" w:rsidP="00A05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5A8C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A05A8C" w:rsidRDefault="00A05A8C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455487" w:rsidRPr="00E6130E" w:rsidRDefault="00455487" w:rsidP="004554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E6130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ANEXO VI</w:t>
      </w:r>
    </w:p>
    <w:p w:rsidR="00455487" w:rsidRDefault="00455487" w:rsidP="004554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para a atividade de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posto de combustível</w:t>
      </w:r>
    </w:p>
    <w:p w:rsidR="00455487" w:rsidRDefault="00455487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412"/>
        <w:gridCol w:w="1653"/>
      </w:tblGrid>
      <w:tr w:rsidR="00455487" w:rsidRPr="00455487" w:rsidTr="002555BD">
        <w:trPr>
          <w:trHeight w:val="315"/>
        </w:trPr>
        <w:tc>
          <w:tcPr>
            <w:tcW w:w="10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55487" w:rsidRPr="00455487" w:rsidRDefault="00455487" w:rsidP="00455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Posto de Combustível</w:t>
            </w:r>
          </w:p>
        </w:tc>
      </w:tr>
      <w:tr w:rsidR="00455487" w:rsidRPr="00455487" w:rsidTr="006E3DA9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5487" w:rsidRPr="00455487" w:rsidRDefault="00455487" w:rsidP="00455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5487" w:rsidRPr="00455487" w:rsidRDefault="00455487" w:rsidP="00455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5487" w:rsidRPr="00455487" w:rsidRDefault="00455487" w:rsidP="00455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B42B75" w:rsidRPr="00455487" w:rsidTr="006E3DA9">
        <w:trPr>
          <w:trHeight w:val="6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B75" w:rsidRPr="00A05A8C" w:rsidRDefault="00B42B75" w:rsidP="0018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Executar a obra de acordo com o projeto arquitetônico aprovado pela Secretaria </w:t>
            </w:r>
            <w:r w:rsidR="00C6765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responsável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 </w:t>
            </w:r>
            <w:r w:rsidR="002411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apresentado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quando da abertura do processo</w:t>
            </w:r>
            <w:r w:rsidR="00187CD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E50204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C94148" w:rsidRPr="00455487" w:rsidTr="006E3DA9">
        <w:trPr>
          <w:trHeight w:val="127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48" w:rsidRPr="00455487" w:rsidRDefault="00C94148" w:rsidP="00C9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48" w:rsidRPr="003A21CA" w:rsidRDefault="00C94148" w:rsidP="00C941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comprovação da destinação final dos efluentes sanitários. Na ausência de rede pública de saneamento básico deverá ser instalado 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e apresentada ART do profissional Responsável.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48" w:rsidRPr="003A21CA" w:rsidRDefault="00C94148" w:rsidP="00C9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B42B75" w:rsidRPr="00455487" w:rsidTr="006E3DA9">
        <w:trPr>
          <w:trHeight w:val="6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A70324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Todo efluente contaminado com óleo deverá ser direcionado ao Sistema Separador de Água e Óleo (SSAO). 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B42B75" w:rsidRPr="00455487" w:rsidTr="006E3DA9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A70324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Toda área de operação do posto deverá ter piso impermeável e com canaletas direcionando os efluentes para o Sistema Separador de Água e Óleo (SSAO).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402DF1" w:rsidRPr="00455487" w:rsidTr="006E3DA9">
        <w:trPr>
          <w:trHeight w:val="15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DF1" w:rsidRPr="00455487" w:rsidRDefault="00402DF1" w:rsidP="00402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F1" w:rsidRDefault="00402DF1" w:rsidP="00402D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caracterização físico-química do efluente das caixas do Sistema Separador de Água e Óleo (SSAO), a fim de verificar sua eficiência,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 meio da análise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parâmetros: pH, sólidos sedimentáveis, sólidos suspensos, óleos e graxas.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DF1" w:rsidRPr="0057426C" w:rsidRDefault="00402DF1" w:rsidP="00402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Primeira caracterização 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120 (cento e vinte) dias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A</w:t>
            </w: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pós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semestralmente</w:t>
            </w:r>
          </w:p>
        </w:tc>
      </w:tr>
      <w:tr w:rsidR="00B42B75" w:rsidRPr="00455487" w:rsidTr="006E3DA9">
        <w:trPr>
          <w:trHeight w:val="15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A70324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B75" w:rsidRPr="00455487" w:rsidRDefault="007D2A2C" w:rsidP="002555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426C">
              <w:rPr>
                <w:rFonts w:ascii="Calibri" w:eastAsia="Times New Roman" w:hAnsi="Calibri" w:cs="Times New Roman"/>
                <w:color w:val="000000"/>
                <w:lang w:eastAsia="pt-BR"/>
              </w:rPr>
              <w:t>Realizar periodicamente a limpeza e manutenção do Sistema Separador de Água e Óleo (SSAO) a fim de manter a sua eficiência. Os efluentes oleosos resultantes de sua limpeza deverã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ser adequadamente armazenados e enviados a empresa licenciada ambientalmente. Os Certificados de destinação final emitidos pela empresa de destino,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  <w:r w:rsidR="00B42B75"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7D2A2C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  <w:r w:rsidR="00B42B75"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B42B75" w:rsidRPr="00455487" w:rsidTr="0070658B">
        <w:trPr>
          <w:trHeight w:val="135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A70324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Fica expressamente proibido o despejo de efluente contaminado com óleo ou outros produtos químicos, sem tratamento prévio,</w:t>
            </w:r>
            <w:r w:rsidR="002555B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solo,</w:t>
            </w: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 rede coletora de esgoto, na rede pluvial ou em corpos hídricos.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B42B75" w:rsidRPr="00455487" w:rsidTr="0070658B">
        <w:trPr>
          <w:trHeight w:val="12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A70324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Todo óleo lubrificante usado deverá ser armazenado em recipiente estanque, devidamente identificado. A coleta, transporte e destinação final deverá ser efetuada por empresa devidamente licenciada em órgão ambiental competente.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B42B75" w:rsidRPr="00455487" w:rsidTr="0070658B">
        <w:trPr>
          <w:trHeight w:val="127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A70324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</w:t>
            </w:r>
          </w:p>
        </w:tc>
        <w:tc>
          <w:tcPr>
            <w:tcW w:w="8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0D5A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Promover a impermeabilização do piso e a implantação de canaletas </w:t>
            </w:r>
            <w:r w:rsidR="000D5A19">
              <w:rPr>
                <w:rFonts w:ascii="Calibri" w:eastAsia="Times New Roman" w:hAnsi="Calibri" w:cs="Times New Roman"/>
                <w:color w:val="000000"/>
                <w:lang w:eastAsia="pt-BR"/>
              </w:rPr>
              <w:t>também impermeáveis</w:t>
            </w: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toda a área de descarga de combustível comum, com direcionamento para Sistema </w:t>
            </w:r>
            <w:r w:rsidR="00A70324">
              <w:rPr>
                <w:rFonts w:ascii="Calibri" w:eastAsia="Times New Roman" w:hAnsi="Calibri" w:cs="Times New Roman"/>
                <w:color w:val="000000"/>
                <w:lang w:eastAsia="pt-BR"/>
              </w:rPr>
              <w:t>Separador de Água e Óleo (SSAO).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254DE7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Imediato</w:t>
            </w:r>
          </w:p>
        </w:tc>
      </w:tr>
      <w:tr w:rsidR="00B42B75" w:rsidRPr="00455487" w:rsidTr="006E3DA9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254D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Implantar drenagem de águas pluviais em toda a área do empreendimento, de forma a evitar o escoamento de águas pluviais para as ca</w:t>
            </w:r>
            <w:r w:rsidR="00254DE7">
              <w:rPr>
                <w:rFonts w:ascii="Calibri" w:eastAsia="Times New Roman" w:hAnsi="Calibri" w:cs="Times New Roman"/>
                <w:color w:val="000000"/>
                <w:lang w:eastAsia="pt-BR"/>
              </w:rPr>
              <w:t>ixas separadoras de água e óleo.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254DE7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B42B75"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0 (noventa) dias</w:t>
            </w:r>
          </w:p>
        </w:tc>
      </w:tr>
      <w:tr w:rsidR="006E3DA9" w:rsidRPr="00455487" w:rsidTr="006E3DA9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DA9" w:rsidRPr="00455487" w:rsidRDefault="006E3DA9" w:rsidP="006E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DA9" w:rsidRPr="003A21CA" w:rsidRDefault="006E3DA9" w:rsidP="006E3D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planilha contemplando quantidade e local de destinação dos resíduos perigosos Classe I (NBR 10.004) contaminados com óleo ou graxa, com dados mensais. Os Certificados de destinação final emitidos pela empresa de destino,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A9" w:rsidRPr="003A21CA" w:rsidRDefault="006E3DA9" w:rsidP="006E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cada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120 (cento e vinte) dias. </w:t>
            </w:r>
          </w:p>
        </w:tc>
      </w:tr>
      <w:tr w:rsidR="00B42B75" w:rsidRPr="00455487" w:rsidTr="006E3DA9">
        <w:trPr>
          <w:trHeight w:val="12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É proibido encaminhar para a coleta pública municipal os resíduos sólidos classe I - Perigosos (NBR 10.004). Estes devem ser separados, armazenados e identificados em recipiente estanque e em área impermeabilizada e coberta.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B42B75" w:rsidRPr="00455487" w:rsidTr="006E3DA9">
        <w:trPr>
          <w:trHeight w:val="21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8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6E3DA9" w:rsidRDefault="00B42B75" w:rsidP="00B4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95124">
              <w:rPr>
                <w:rFonts w:ascii="Calibri" w:eastAsia="Times New Roman" w:hAnsi="Calibri" w:cs="Times New Roman"/>
                <w:lang w:eastAsia="pt-BR"/>
              </w:rPr>
              <w:t>Apresentar Laudo Técnico relativo à integridade dos sistemas de armazenamento e distribuição (bombas, tubulações e tanques), emitido por empresas ou profissionais habilitados e acompanhado da devida ART. Os testes deverão observar as recomendações da NBR 13.784/2006, preenchendo-se o laudo de estanqueidade do SASC, conforme Anexo B da referida norma.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5" w:rsidRPr="00455487" w:rsidRDefault="00B42B75" w:rsidP="00B4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5487">
              <w:rPr>
                <w:rFonts w:ascii="Calibri" w:eastAsia="Times New Roman" w:hAnsi="Calibri" w:cs="Times New Roman"/>
                <w:color w:val="000000"/>
                <w:lang w:eastAsia="pt-BR"/>
              </w:rPr>
              <w:t>60 (sessenta) dias após a instalação</w:t>
            </w:r>
          </w:p>
        </w:tc>
      </w:tr>
    </w:tbl>
    <w:p w:rsidR="00455487" w:rsidRDefault="00455487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C86DD2" w:rsidRDefault="00C86DD2" w:rsidP="00C86D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VII</w:t>
      </w:r>
    </w:p>
    <w:p w:rsidR="00C86DD2" w:rsidRDefault="00C86DD2" w:rsidP="00C86D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para a atividade de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construção civil</w:t>
      </w:r>
    </w:p>
    <w:p w:rsidR="00C86DD2" w:rsidRDefault="00C86DD2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415"/>
        <w:gridCol w:w="1276"/>
      </w:tblGrid>
      <w:tr w:rsidR="00882439" w:rsidRPr="00C86DD2" w:rsidTr="00C64EEF">
        <w:trPr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Construção Civil</w:t>
            </w:r>
          </w:p>
        </w:tc>
      </w:tr>
      <w:tr w:rsidR="00882439" w:rsidRPr="00C86DD2" w:rsidTr="00C64EEF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882439" w:rsidRPr="00C86DD2" w:rsidTr="00C64EEF">
        <w:trPr>
          <w:trHeight w:val="6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39" w:rsidRPr="00A05A8C" w:rsidRDefault="00882439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Executar a obra de acordo com o projeto arquitetônico aprovado pela Secretaria responsável e apresentado quando da abertura do processo de licenciamento ambiental conforme previsto no Artigo 26 </w:t>
            </w:r>
            <w:r w:rsidRPr="00C37A37">
              <w:rPr>
                <w:rFonts w:ascii="Verdana" w:hAnsi="Verdana" w:cs="Times New Roman"/>
                <w:color w:val="010202"/>
                <w:sz w:val="20"/>
                <w:szCs w:val="20"/>
              </w:rPr>
              <w:t xml:space="preserve">Decreto Municipal nº. </w:t>
            </w:r>
            <w:proofErr w:type="spellStart"/>
            <w:r w:rsidRPr="00C37A37">
              <w:rPr>
                <w:rFonts w:ascii="Verdana" w:hAnsi="Verdana" w:cs="Times New Roman"/>
                <w:color w:val="010202"/>
                <w:sz w:val="20"/>
                <w:szCs w:val="20"/>
              </w:rPr>
              <w:t>xxx</w:t>
            </w:r>
            <w:proofErr w:type="spellEnd"/>
            <w:r>
              <w:rPr>
                <w:rFonts w:ascii="Verdana" w:hAnsi="Verdana" w:cs="Times New Roman"/>
                <w:color w:val="01020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82439" w:rsidRPr="00C86DD2" w:rsidTr="00C64EEF">
        <w:trPr>
          <w:trHeight w:val="939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39" w:rsidRPr="003A21CA" w:rsidRDefault="00882439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Apresentar comprovação da destinação final dos efluentes sanitários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gerados no canteiro de obras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Na ausência de rede pública de saneamento básico deverá ser instalado 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e apresentada ART do profissional Responsável ou utilizar banheiros químicos.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439" w:rsidRPr="003A21CA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882439" w:rsidRPr="00C86DD2" w:rsidTr="00C64EEF">
        <w:trPr>
          <w:trHeight w:val="843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2439" w:rsidRPr="00C86DD2" w:rsidRDefault="00882439" w:rsidP="0088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2439" w:rsidRPr="003A21CA" w:rsidRDefault="00882439" w:rsidP="008824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 houver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com lançamento diretamente em corpo hídrico, apresentar Outorga emitida pela AGERH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2439" w:rsidRPr="003A21CA" w:rsidRDefault="00882439" w:rsidP="0088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882439" w:rsidRPr="00C86DD2" w:rsidTr="00C64EEF">
        <w:trPr>
          <w:trHeight w:val="843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439" w:rsidRPr="00C86DD2" w:rsidRDefault="00882439" w:rsidP="00C64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Todos os resíduos sólidos de construção civil gerados deverão ser geren</w:t>
            </w:r>
            <w:r w:rsidR="00471C86">
              <w:rPr>
                <w:rFonts w:ascii="Calibri" w:eastAsia="Times New Roman" w:hAnsi="Calibri" w:cs="Times New Roman"/>
                <w:color w:val="000000"/>
                <w:lang w:eastAsia="pt-BR"/>
              </w:rPr>
              <w:t>ciados conforme Resolução Conama</w:t>
            </w: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N° 307/2002 e suas resoluções complementares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Resolução Conama</w:t>
            </w: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N° 348/2004; 431/2011 e 448/2012).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82439" w:rsidRPr="00C86DD2" w:rsidTr="00C64EEF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2439" w:rsidRPr="003A21CA" w:rsidRDefault="00882439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planilha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geração/destinação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dos outros resíduos gerados (Classe A, B, C e D conforme Resolução CONAMA N° 307/2002)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, com dados mensais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Os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mprovantes de destinação final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439" w:rsidRPr="003A21CA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cada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120 (cento e vinte) dias. </w:t>
            </w:r>
          </w:p>
        </w:tc>
      </w:tr>
      <w:tr w:rsidR="00882439" w:rsidRPr="00C86DD2" w:rsidTr="00A208C7">
        <w:trPr>
          <w:trHeight w:val="41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439" w:rsidRPr="00C86DD2" w:rsidRDefault="00882439" w:rsidP="00C64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armazenamento temporário dos resíduos sólidos deve ser realizado em local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adequado.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82439" w:rsidRPr="00C86DD2" w:rsidTr="00A208C7">
        <w:trPr>
          <w:trHeight w:val="68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439" w:rsidRPr="00C86DD2" w:rsidRDefault="00882439" w:rsidP="00C64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Adotar medidas cabíveis a fim de evitar ao máximo o carreamento de sedimentos provenientes da obra para as calçadas, rede de drenagem e/ou ruas que margeiam a obra.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82439" w:rsidRPr="00C86DD2" w:rsidTr="00A208C7">
        <w:trPr>
          <w:trHeight w:val="979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439" w:rsidRPr="00C86DD2" w:rsidRDefault="00882439" w:rsidP="00C64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transporte dos resíduos e materiais da obra deverá ser feito em veículos com caçamba impermeável e devidamente </w:t>
            </w:r>
            <w:proofErr w:type="spellStart"/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lonados</w:t>
            </w:r>
            <w:proofErr w:type="spellEnd"/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, evitando o derramamento dos mesmos nas vias de circulação.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82439" w:rsidRPr="00C86DD2" w:rsidTr="00C64EEF">
        <w:trPr>
          <w:trHeight w:val="682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439" w:rsidRPr="00C86DD2" w:rsidRDefault="00882439" w:rsidP="00C64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Manter os níveis de ruído dentro dos padrões preconizados pela NBR 10.151/00 e Resolução CONAMA nº 01/90, de modo que estes não causem incômodo à vizinhança.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82439" w:rsidRPr="00C86DD2" w:rsidTr="00C64EEF">
        <w:trPr>
          <w:trHeight w:val="9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439" w:rsidRPr="00C86DD2" w:rsidRDefault="00882439" w:rsidP="00C64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Orientar os trabalhadores/empresas contratados para realização das obras quanto às normas ambientais de execução dos serviços e quanto as condicionantes desta Licença Ambiental.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882439" w:rsidRPr="00C86DD2" w:rsidTr="00C64EEF">
        <w:trPr>
          <w:trHeight w:val="60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439" w:rsidRPr="00C86DD2" w:rsidRDefault="00882439" w:rsidP="00C64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Não intervir em Áreas de Preservação Permanente (APP) ou outras áreas sensíveis protegidas próximas ao empreendimento.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39" w:rsidRPr="00C86DD2" w:rsidRDefault="00882439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6DD2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882439" w:rsidRDefault="00882439" w:rsidP="003E0F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882439" w:rsidRDefault="00882439" w:rsidP="003E0F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3D4BA4" w:rsidRDefault="00935992" w:rsidP="003D4B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VIII</w:t>
      </w:r>
    </w:p>
    <w:p w:rsidR="003D4BA4" w:rsidRDefault="003D4BA4" w:rsidP="003D4B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para a atividade de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Beneficiamento de Rochas</w:t>
      </w:r>
    </w:p>
    <w:p w:rsidR="003D4BA4" w:rsidRDefault="003D4BA4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3D4BA4" w:rsidRDefault="003D4BA4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713"/>
        <w:gridCol w:w="3545"/>
      </w:tblGrid>
      <w:tr w:rsidR="003D4BA4" w:rsidRPr="003A21CA" w:rsidTr="00C64EEF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Beneficiamento de Rochas</w:t>
            </w:r>
          </w:p>
        </w:tc>
      </w:tr>
      <w:tr w:rsidR="003D4BA4" w:rsidRPr="003A21CA" w:rsidTr="00C64EEF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Condicionantes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3D4BA4" w:rsidRPr="003A21CA" w:rsidTr="00C64EEF">
        <w:trPr>
          <w:trHeight w:val="1215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comprovação da destinação final dos efluentes sanitários. Na ausência de rede pública de saneamento básico deverá ser instalado 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e apresentada ART do profissional Responsável.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3D4BA4" w:rsidRPr="003A21CA" w:rsidTr="00C64EEF">
        <w:trPr>
          <w:trHeight w:val="1215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 houver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Sistema Individual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Tratamento de Efluentes domésticos com lançamento diretamente em corpo hídrico, apresentar Outorga emitida pela AGERH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3D4BA4" w:rsidRPr="003A21CA" w:rsidTr="00C64EEF">
        <w:trPr>
          <w:trHeight w:val="12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canaletas de drenagem do efluente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deverão ser impermeáveis.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3D4BA4" w:rsidRPr="003A21CA" w:rsidTr="00C64EEF">
        <w:trPr>
          <w:trHeight w:val="12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BA4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A4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Toda lama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abrasiva gerada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(LBRO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deverá ser segregada em local adequado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impermeável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destinada a aterro ambientalmente li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cenciado para o recebimento dess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e resíduo.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BA4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3D4BA4" w:rsidRPr="003A21CA" w:rsidTr="00C64EEF">
        <w:trPr>
          <w:trHeight w:val="18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planilha contemplando quantidade e local de destinação da lama abrasiva, com dados mensais. Os Certificados de destinação final emitidos pela empresa de destino,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cada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120 (cento e vinte) dias. </w:t>
            </w:r>
          </w:p>
        </w:tc>
      </w:tr>
      <w:tr w:rsidR="003D4BA4" w:rsidRPr="003A21CA" w:rsidTr="00C64EEF">
        <w:trPr>
          <w:trHeight w:val="93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BA4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planilha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geração/destinação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dos outros resíduos gerados (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oleosos, casqueiros, abrasivos,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madeira, </w:t>
            </w:r>
            <w:proofErr w:type="gramStart"/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etc...</w:t>
            </w:r>
            <w:proofErr w:type="gramEnd"/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), com dados mensais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 Os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mprovantes de destinação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final deverão estar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disposição em pasta própria para conferência do Agente Fiscalizador.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A cada </w:t>
            </w: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120 (cento e vinte) dias. </w:t>
            </w:r>
          </w:p>
        </w:tc>
      </w:tr>
      <w:tr w:rsidR="003D4BA4" w:rsidRPr="003A21CA" w:rsidTr="00C64EEF">
        <w:trPr>
          <w:trHeight w:val="93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O armazenamento temporário de casqueiros, sobras e aparas de rochas deverá ser feito em local adequado, para posterior reaproveitamento ou destinação ambientalmente correta.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3D4BA4" w:rsidRPr="003A21CA" w:rsidTr="00C64EEF">
        <w:trPr>
          <w:trHeight w:val="223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É imprescindível o controle da emissão de material particulado emitido pela atividade. Os equipamentos utilizados nos processos da empresa deverão ser dotados de sistema de umidificação capaz de minimizar ou eliminar a geração de poeira decorrente de seu funcionamento, bem como estar localizados em áreas fechadas, evitando assim a dispersão do material particulado para o ambiente externo.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3D4BA4" w:rsidRPr="003A21CA" w:rsidTr="00C64EEF">
        <w:trPr>
          <w:trHeight w:val="15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O empreendimento deverá observar e respeitar, rigorosamente, os parâmetros e os limites de Nível de Poluição Sonora (NPS) exigidos pela Resolução Conama n° 001/90, NBR 10.151/2000 e suas atualizações, para o horário de funcionamento e o local da atividade.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BA4" w:rsidRPr="003A21CA" w:rsidRDefault="003D4BA4" w:rsidP="00C6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1CA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3D4BA4" w:rsidRDefault="003D4BA4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3D4BA4" w:rsidRDefault="003D4BA4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3D4BA4" w:rsidRDefault="003D4BA4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7B304E" w:rsidRDefault="003D4BA4" w:rsidP="007B30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ANEXO </w:t>
      </w:r>
      <w:r w:rsidR="007B30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X</w:t>
      </w:r>
    </w:p>
    <w:p w:rsidR="007B304E" w:rsidRDefault="007B304E" w:rsidP="007B30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Condicionantes </w:t>
      </w:r>
      <w:r w:rsidR="00CF5B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administrativas e </w:t>
      </w:r>
      <w:proofErr w:type="spellStart"/>
      <w:r w:rsidR="00CF5B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orientativas</w:t>
      </w:r>
      <w:proofErr w:type="spellEnd"/>
    </w:p>
    <w:p w:rsidR="007B304E" w:rsidRDefault="007B304E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529"/>
        <w:gridCol w:w="769"/>
      </w:tblGrid>
      <w:tr w:rsidR="007B304E" w:rsidRPr="007B304E" w:rsidTr="007B304E">
        <w:trPr>
          <w:trHeight w:val="315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B304E" w:rsidRPr="007B304E" w:rsidRDefault="007B304E" w:rsidP="000C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Condicionantes Administrativas e </w:t>
            </w:r>
            <w:proofErr w:type="spellStart"/>
            <w:r w:rsidRPr="007B304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Orientativas</w:t>
            </w:r>
            <w:proofErr w:type="spellEnd"/>
          </w:p>
        </w:tc>
      </w:tr>
      <w:tr w:rsidR="007B304E" w:rsidRPr="007B304E" w:rsidTr="007B304E">
        <w:trPr>
          <w:trHeight w:val="315"/>
        </w:trPr>
        <w:tc>
          <w:tcPr>
            <w:tcW w:w="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Condicionantes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7B304E" w:rsidRPr="007B304E" w:rsidTr="007B304E">
        <w:trPr>
          <w:trHeight w:val="2205"/>
        </w:trPr>
        <w:tc>
          <w:tcPr>
            <w:tcW w:w="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E842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Esta Licença Ambiental N° XX/XX foi expedida com fundamento no Decreto Municipal N° XX/XX e autoriza a atividade de “XXXXXXXXXXXXXXXX” na localidade de “XXXXXXXXXXXXXXXX”, conforme os parâmetros e portes estabelecidos nos autos do processo N° XXXXXXXX, devendo as condicionantes serem atendidas dentro das condições e prazos estabelecidos.</w:t>
            </w: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690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Esta Licença Ambiental deverá ser mantida nas dependências da empresa e sempre que solicitada deverá ser apresentada.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91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AF4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Caso haja necessidade de alteração e/ou ampliação da atividade e/ou empreendimento, esta </w:t>
            </w:r>
            <w:r w:rsidR="00AF4340" w:rsidRPr="00AF43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Secretaria Municipal Responsável Pelas Políticas Públicas De Meio Ambiente </w:t>
            </w: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deverá ser previamente consultada.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990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 caso de desativação ou mudança de endereço, o estabelecimento deverá comunicar previamente esta </w:t>
            </w:r>
            <w:r w:rsidR="00013E19" w:rsidRPr="00013E19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Municipal Responsável Pelas Políticas Públicas De Meio Ambiente</w:t>
            </w: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181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Esta licença se refere apenas aos impactos ambientais da atividade e, portanto, não inibe ou exime o seu titular da obtenção, junto aos órgão competentes, do respectivo alvará, licença, anuência, autorização ou outros documentos legalmente exigíveis, bem como a ação fiscalizatória dos demais órgãos.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211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documentação apresentada em atendimento às condicionantes desta Licença Ambiental deve estar acompanhada de ofício de encaminhamento, que deverá fazer referência </w:t>
            </w:r>
            <w:proofErr w:type="gramStart"/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à(</w:t>
            </w:r>
            <w:proofErr w:type="gramEnd"/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s) condicionante(s) a que se destina. Os documentos devem ser rubricados e assinados e acompanhados da Anotação de Responsabilidade Técnica (ART), quando couber.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226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Todas as plantas, projetos, memoriais e estudos solicitados deverão ser elaborados por profissionais legalmente habilitados, devendo constar o número de seu registro no Conselho Regional da Classe e ainda as respectivas cópias de Anotação de Responsabilidade Técnica (</w:t>
            </w:r>
            <w:proofErr w:type="spellStart"/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ART’s</w:t>
            </w:r>
            <w:proofErr w:type="spellEnd"/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) dos profissionais habilitados para elaboração de cada projeto/plano, bem como as de Responsabilidade Técnica de Execução desses;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130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Ressalva-se a esta </w:t>
            </w:r>
            <w:r w:rsidR="000C2125" w:rsidRPr="000C21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Secretaria Municipal Responsável Pelas Políticas Públicas De Meio Ambiente </w:t>
            </w: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o direito de solicitar, a qualquer tempo, a apresentação de novos estudos, documentos e/ou informações, caso seja verificada a necessidade, durante todo o período de vigência desta Licença Ambiental.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121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04E" w:rsidRPr="007B304E" w:rsidRDefault="007B304E" w:rsidP="007B3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Apresentar as publicações com o comunicado de obtenção da Licença Ambiental, em jornal de grande circulação, no local de abrangência da atividade licenciada e no Diário Oficial do Estado.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30 (trinta) dias</w:t>
            </w:r>
          </w:p>
        </w:tc>
      </w:tr>
      <w:tr w:rsidR="007B304E" w:rsidRPr="007B304E" w:rsidTr="007B304E">
        <w:trPr>
          <w:trHeight w:val="121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requerimento de renovação desta Licença Ambiental deverá ser realizado com antecedência mínima de 120 (cento e vinte) dias, ficando </w:t>
            </w:r>
            <w:proofErr w:type="spellStart"/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esta</w:t>
            </w:r>
            <w:proofErr w:type="spellEnd"/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automaticamente prorrogada, até manifestação técnica conclusiva desta </w:t>
            </w:r>
            <w:r w:rsidR="000A545B" w:rsidRPr="000A545B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Municipal Responsável Pelas Políticas Públicas De Meio Ambiente</w:t>
            </w: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61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A contagem do prazo desta Licença Ambiental e de suas condicionantes se inicia a partir do seu recebimento.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1875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A constatação da operação em desacordo com as informações prestadas quando do requerimento da licença ou com as condicionantes sujeitarão a empresa, seus representantes, seus responsáveis técnicos e contratados envolvidos às penalidades administrativas previstas em lei, além de serem adotadas as providencias para responsabilização civil e criminal.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7B304E" w:rsidRPr="007B304E" w:rsidTr="007B304E">
        <w:trPr>
          <w:trHeight w:val="1530"/>
        </w:trPr>
        <w:tc>
          <w:tcPr>
            <w:tcW w:w="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13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O não cumprimento das condicionantes, penalizará a empresa com a imposição das penalidades de multa e/ou interdição/embargo das atividades/obra e ainda determinará a suspensão ou cassação da Licença, conforme previsto no Decreto Municipal N° XX/XX.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4E" w:rsidRPr="007B304E" w:rsidRDefault="007B304E" w:rsidP="007B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04E"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</w:tbl>
    <w:p w:rsidR="007B304E" w:rsidRDefault="007B304E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3A21CA" w:rsidRDefault="003A21CA" w:rsidP="00C456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sectPr w:rsidR="003A2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215"/>
    <w:multiLevelType w:val="hybridMultilevel"/>
    <w:tmpl w:val="FB56DF3C"/>
    <w:lvl w:ilvl="0" w:tplc="36CED3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E01E8"/>
    <w:multiLevelType w:val="hybridMultilevel"/>
    <w:tmpl w:val="12F0F10E"/>
    <w:lvl w:ilvl="0" w:tplc="604CCA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B49EF"/>
    <w:multiLevelType w:val="hybridMultilevel"/>
    <w:tmpl w:val="32FEC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3711"/>
    <w:multiLevelType w:val="hybridMultilevel"/>
    <w:tmpl w:val="9F24C7EA"/>
    <w:lvl w:ilvl="0" w:tplc="FF8E74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470F7B"/>
    <w:multiLevelType w:val="hybridMultilevel"/>
    <w:tmpl w:val="131A3BA2"/>
    <w:lvl w:ilvl="0" w:tplc="DAA8FE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306A72"/>
    <w:multiLevelType w:val="hybridMultilevel"/>
    <w:tmpl w:val="44584554"/>
    <w:lvl w:ilvl="0" w:tplc="4B2A03C0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350BB3"/>
    <w:multiLevelType w:val="hybridMultilevel"/>
    <w:tmpl w:val="6308A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40DE"/>
    <w:multiLevelType w:val="hybridMultilevel"/>
    <w:tmpl w:val="A96CF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E"/>
    <w:rsid w:val="00013E19"/>
    <w:rsid w:val="000140D9"/>
    <w:rsid w:val="000526A9"/>
    <w:rsid w:val="00064023"/>
    <w:rsid w:val="00073E5F"/>
    <w:rsid w:val="000800DF"/>
    <w:rsid w:val="00080E41"/>
    <w:rsid w:val="00081E25"/>
    <w:rsid w:val="000829DD"/>
    <w:rsid w:val="00083733"/>
    <w:rsid w:val="00086D8B"/>
    <w:rsid w:val="000A287A"/>
    <w:rsid w:val="000A545B"/>
    <w:rsid w:val="000C2125"/>
    <w:rsid w:val="000C3818"/>
    <w:rsid w:val="000D2699"/>
    <w:rsid w:val="000D56D2"/>
    <w:rsid w:val="000D5A19"/>
    <w:rsid w:val="000D61F7"/>
    <w:rsid w:val="000D6419"/>
    <w:rsid w:val="000E7F1D"/>
    <w:rsid w:val="000F227D"/>
    <w:rsid w:val="000F3652"/>
    <w:rsid w:val="001003FC"/>
    <w:rsid w:val="00107873"/>
    <w:rsid w:val="00121373"/>
    <w:rsid w:val="00123C64"/>
    <w:rsid w:val="00144363"/>
    <w:rsid w:val="001552CE"/>
    <w:rsid w:val="00157198"/>
    <w:rsid w:val="00164525"/>
    <w:rsid w:val="00180B2D"/>
    <w:rsid w:val="00187CD3"/>
    <w:rsid w:val="001C2C04"/>
    <w:rsid w:val="001C48D2"/>
    <w:rsid w:val="001D107F"/>
    <w:rsid w:val="001D578C"/>
    <w:rsid w:val="001E2264"/>
    <w:rsid w:val="001E4B38"/>
    <w:rsid w:val="001F0A16"/>
    <w:rsid w:val="002002DB"/>
    <w:rsid w:val="0020519C"/>
    <w:rsid w:val="002117BD"/>
    <w:rsid w:val="0021259A"/>
    <w:rsid w:val="002218D8"/>
    <w:rsid w:val="0023058B"/>
    <w:rsid w:val="00230826"/>
    <w:rsid w:val="00232998"/>
    <w:rsid w:val="002411F2"/>
    <w:rsid w:val="00244C4E"/>
    <w:rsid w:val="00254DE7"/>
    <w:rsid w:val="002555BD"/>
    <w:rsid w:val="00257594"/>
    <w:rsid w:val="002613D1"/>
    <w:rsid w:val="00261FA1"/>
    <w:rsid w:val="0027136E"/>
    <w:rsid w:val="002943D7"/>
    <w:rsid w:val="0029465A"/>
    <w:rsid w:val="002A48F3"/>
    <w:rsid w:val="002A61D5"/>
    <w:rsid w:val="002A67CA"/>
    <w:rsid w:val="002B2D2E"/>
    <w:rsid w:val="002B67E0"/>
    <w:rsid w:val="002D0408"/>
    <w:rsid w:val="002D6B84"/>
    <w:rsid w:val="002E79DD"/>
    <w:rsid w:val="002E7BF7"/>
    <w:rsid w:val="002F1B31"/>
    <w:rsid w:val="002F2B18"/>
    <w:rsid w:val="003009D2"/>
    <w:rsid w:val="00303652"/>
    <w:rsid w:val="00313740"/>
    <w:rsid w:val="00326123"/>
    <w:rsid w:val="00345242"/>
    <w:rsid w:val="0034635C"/>
    <w:rsid w:val="0034690D"/>
    <w:rsid w:val="003508A6"/>
    <w:rsid w:val="0035238E"/>
    <w:rsid w:val="00355D5B"/>
    <w:rsid w:val="0036210E"/>
    <w:rsid w:val="00362115"/>
    <w:rsid w:val="00364B84"/>
    <w:rsid w:val="00380543"/>
    <w:rsid w:val="00387819"/>
    <w:rsid w:val="00390C29"/>
    <w:rsid w:val="00394D59"/>
    <w:rsid w:val="0039666E"/>
    <w:rsid w:val="003A21CA"/>
    <w:rsid w:val="003A2DEE"/>
    <w:rsid w:val="003A49DC"/>
    <w:rsid w:val="003A726E"/>
    <w:rsid w:val="003B0286"/>
    <w:rsid w:val="003C3D99"/>
    <w:rsid w:val="003C4C4B"/>
    <w:rsid w:val="003C6C44"/>
    <w:rsid w:val="003D4BA4"/>
    <w:rsid w:val="003D69E7"/>
    <w:rsid w:val="003E0F6F"/>
    <w:rsid w:val="003E3D3F"/>
    <w:rsid w:val="003E5000"/>
    <w:rsid w:val="003F079D"/>
    <w:rsid w:val="0040043F"/>
    <w:rsid w:val="00402DF1"/>
    <w:rsid w:val="004051BD"/>
    <w:rsid w:val="00405AF5"/>
    <w:rsid w:val="0041097C"/>
    <w:rsid w:val="00414677"/>
    <w:rsid w:val="0041606B"/>
    <w:rsid w:val="004271B1"/>
    <w:rsid w:val="00435449"/>
    <w:rsid w:val="004418E6"/>
    <w:rsid w:val="0044370C"/>
    <w:rsid w:val="00446974"/>
    <w:rsid w:val="00453D21"/>
    <w:rsid w:val="00455487"/>
    <w:rsid w:val="00456AD7"/>
    <w:rsid w:val="00463C87"/>
    <w:rsid w:val="00471C86"/>
    <w:rsid w:val="00475693"/>
    <w:rsid w:val="00481BE7"/>
    <w:rsid w:val="00481BFF"/>
    <w:rsid w:val="0048421B"/>
    <w:rsid w:val="004912AF"/>
    <w:rsid w:val="004A084F"/>
    <w:rsid w:val="004C0F15"/>
    <w:rsid w:val="004C6D80"/>
    <w:rsid w:val="004D4D80"/>
    <w:rsid w:val="004D5395"/>
    <w:rsid w:val="004E498B"/>
    <w:rsid w:val="004E7FFD"/>
    <w:rsid w:val="004F1DB0"/>
    <w:rsid w:val="004F7EDE"/>
    <w:rsid w:val="00512C7C"/>
    <w:rsid w:val="0051330D"/>
    <w:rsid w:val="0051486C"/>
    <w:rsid w:val="00515736"/>
    <w:rsid w:val="00516185"/>
    <w:rsid w:val="00531217"/>
    <w:rsid w:val="00542246"/>
    <w:rsid w:val="00542B95"/>
    <w:rsid w:val="00551108"/>
    <w:rsid w:val="00553EA3"/>
    <w:rsid w:val="00562EF8"/>
    <w:rsid w:val="005667B2"/>
    <w:rsid w:val="0057426C"/>
    <w:rsid w:val="0058231F"/>
    <w:rsid w:val="005931D3"/>
    <w:rsid w:val="005B63D2"/>
    <w:rsid w:val="005B750C"/>
    <w:rsid w:val="005B7D09"/>
    <w:rsid w:val="005C6A89"/>
    <w:rsid w:val="005D062F"/>
    <w:rsid w:val="005D585E"/>
    <w:rsid w:val="005E0225"/>
    <w:rsid w:val="005F0E6C"/>
    <w:rsid w:val="005F57EF"/>
    <w:rsid w:val="0060510C"/>
    <w:rsid w:val="00607429"/>
    <w:rsid w:val="00611AB8"/>
    <w:rsid w:val="00616B33"/>
    <w:rsid w:val="00616DF5"/>
    <w:rsid w:val="006335C5"/>
    <w:rsid w:val="006423F2"/>
    <w:rsid w:val="00644C0C"/>
    <w:rsid w:val="0065715B"/>
    <w:rsid w:val="0065757E"/>
    <w:rsid w:val="0066757A"/>
    <w:rsid w:val="00673DDF"/>
    <w:rsid w:val="006840A7"/>
    <w:rsid w:val="006860F1"/>
    <w:rsid w:val="00691ED9"/>
    <w:rsid w:val="006A016F"/>
    <w:rsid w:val="006A421C"/>
    <w:rsid w:val="006C055B"/>
    <w:rsid w:val="006C4420"/>
    <w:rsid w:val="006D285E"/>
    <w:rsid w:val="006E0A9D"/>
    <w:rsid w:val="006E3D0A"/>
    <w:rsid w:val="006E3DA9"/>
    <w:rsid w:val="006E3FB2"/>
    <w:rsid w:val="00705B8C"/>
    <w:rsid w:val="0070658B"/>
    <w:rsid w:val="00707148"/>
    <w:rsid w:val="00712AC4"/>
    <w:rsid w:val="00713E7E"/>
    <w:rsid w:val="00714487"/>
    <w:rsid w:val="007157B5"/>
    <w:rsid w:val="00716EDA"/>
    <w:rsid w:val="007231D6"/>
    <w:rsid w:val="00727CB5"/>
    <w:rsid w:val="00731E31"/>
    <w:rsid w:val="00741912"/>
    <w:rsid w:val="00744D6B"/>
    <w:rsid w:val="00746C9F"/>
    <w:rsid w:val="0075588F"/>
    <w:rsid w:val="007643E8"/>
    <w:rsid w:val="00782233"/>
    <w:rsid w:val="0078583B"/>
    <w:rsid w:val="0078692D"/>
    <w:rsid w:val="007B2205"/>
    <w:rsid w:val="007B304E"/>
    <w:rsid w:val="007C57AD"/>
    <w:rsid w:val="007D2A2C"/>
    <w:rsid w:val="007E5271"/>
    <w:rsid w:val="007E7F77"/>
    <w:rsid w:val="007F11D2"/>
    <w:rsid w:val="00806C81"/>
    <w:rsid w:val="00815A4B"/>
    <w:rsid w:val="00823186"/>
    <w:rsid w:val="00830B12"/>
    <w:rsid w:val="0083579C"/>
    <w:rsid w:val="008454F0"/>
    <w:rsid w:val="00850DD7"/>
    <w:rsid w:val="00855D66"/>
    <w:rsid w:val="0085644B"/>
    <w:rsid w:val="00861A73"/>
    <w:rsid w:val="0086324A"/>
    <w:rsid w:val="00882439"/>
    <w:rsid w:val="008904AA"/>
    <w:rsid w:val="008962C6"/>
    <w:rsid w:val="008965BE"/>
    <w:rsid w:val="008A1DEB"/>
    <w:rsid w:val="008A4957"/>
    <w:rsid w:val="008A508E"/>
    <w:rsid w:val="008B7094"/>
    <w:rsid w:val="008C0C57"/>
    <w:rsid w:val="008C6D44"/>
    <w:rsid w:val="008D3EB8"/>
    <w:rsid w:val="00900B10"/>
    <w:rsid w:val="00904A28"/>
    <w:rsid w:val="00913D19"/>
    <w:rsid w:val="009235C4"/>
    <w:rsid w:val="00924E29"/>
    <w:rsid w:val="00927658"/>
    <w:rsid w:val="0093290D"/>
    <w:rsid w:val="00935992"/>
    <w:rsid w:val="00937C22"/>
    <w:rsid w:val="00950985"/>
    <w:rsid w:val="009512B1"/>
    <w:rsid w:val="0096601F"/>
    <w:rsid w:val="0097213F"/>
    <w:rsid w:val="009760E3"/>
    <w:rsid w:val="00990ABC"/>
    <w:rsid w:val="00997CAC"/>
    <w:rsid w:val="009B71EA"/>
    <w:rsid w:val="009C204A"/>
    <w:rsid w:val="009D7BC3"/>
    <w:rsid w:val="009E2A56"/>
    <w:rsid w:val="009F1D04"/>
    <w:rsid w:val="009F247F"/>
    <w:rsid w:val="009F613A"/>
    <w:rsid w:val="00A02F36"/>
    <w:rsid w:val="00A05A8C"/>
    <w:rsid w:val="00A179B9"/>
    <w:rsid w:val="00A2012A"/>
    <w:rsid w:val="00A208C7"/>
    <w:rsid w:val="00A33B61"/>
    <w:rsid w:val="00A4122B"/>
    <w:rsid w:val="00A50CA4"/>
    <w:rsid w:val="00A5300B"/>
    <w:rsid w:val="00A54E88"/>
    <w:rsid w:val="00A67927"/>
    <w:rsid w:val="00A70324"/>
    <w:rsid w:val="00A7680E"/>
    <w:rsid w:val="00A80E03"/>
    <w:rsid w:val="00A81B50"/>
    <w:rsid w:val="00A92911"/>
    <w:rsid w:val="00A95124"/>
    <w:rsid w:val="00AA34CC"/>
    <w:rsid w:val="00AA7A1A"/>
    <w:rsid w:val="00AB4770"/>
    <w:rsid w:val="00AB678F"/>
    <w:rsid w:val="00AB7ABA"/>
    <w:rsid w:val="00AC2C07"/>
    <w:rsid w:val="00AC2E71"/>
    <w:rsid w:val="00AC3DC4"/>
    <w:rsid w:val="00AC6A42"/>
    <w:rsid w:val="00AD2CFC"/>
    <w:rsid w:val="00AD4299"/>
    <w:rsid w:val="00AD5146"/>
    <w:rsid w:val="00AD5FC2"/>
    <w:rsid w:val="00AD6487"/>
    <w:rsid w:val="00AD79CA"/>
    <w:rsid w:val="00AF2A42"/>
    <w:rsid w:val="00AF4340"/>
    <w:rsid w:val="00B031B8"/>
    <w:rsid w:val="00B0502F"/>
    <w:rsid w:val="00B157CA"/>
    <w:rsid w:val="00B2370E"/>
    <w:rsid w:val="00B245E9"/>
    <w:rsid w:val="00B261C8"/>
    <w:rsid w:val="00B26912"/>
    <w:rsid w:val="00B26E58"/>
    <w:rsid w:val="00B3117A"/>
    <w:rsid w:val="00B42B75"/>
    <w:rsid w:val="00B4712D"/>
    <w:rsid w:val="00B534BA"/>
    <w:rsid w:val="00B8462E"/>
    <w:rsid w:val="00B91A5B"/>
    <w:rsid w:val="00B96350"/>
    <w:rsid w:val="00BA1D7E"/>
    <w:rsid w:val="00BA2372"/>
    <w:rsid w:val="00BA5546"/>
    <w:rsid w:val="00BB6028"/>
    <w:rsid w:val="00BD4097"/>
    <w:rsid w:val="00BD748F"/>
    <w:rsid w:val="00BE2529"/>
    <w:rsid w:val="00BE666C"/>
    <w:rsid w:val="00BE7F59"/>
    <w:rsid w:val="00BF0615"/>
    <w:rsid w:val="00BF4DC2"/>
    <w:rsid w:val="00C109EC"/>
    <w:rsid w:val="00C17DE8"/>
    <w:rsid w:val="00C17F45"/>
    <w:rsid w:val="00C325A9"/>
    <w:rsid w:val="00C33F9C"/>
    <w:rsid w:val="00C35D86"/>
    <w:rsid w:val="00C37A37"/>
    <w:rsid w:val="00C42D12"/>
    <w:rsid w:val="00C44073"/>
    <w:rsid w:val="00C456EE"/>
    <w:rsid w:val="00C47BDF"/>
    <w:rsid w:val="00C64EEF"/>
    <w:rsid w:val="00C6765E"/>
    <w:rsid w:val="00C71D74"/>
    <w:rsid w:val="00C724A0"/>
    <w:rsid w:val="00C7400D"/>
    <w:rsid w:val="00C77D0E"/>
    <w:rsid w:val="00C8531E"/>
    <w:rsid w:val="00C85F0C"/>
    <w:rsid w:val="00C868CA"/>
    <w:rsid w:val="00C86DD2"/>
    <w:rsid w:val="00C8733E"/>
    <w:rsid w:val="00C8745C"/>
    <w:rsid w:val="00C94148"/>
    <w:rsid w:val="00C94DA6"/>
    <w:rsid w:val="00CB0BC9"/>
    <w:rsid w:val="00CB3190"/>
    <w:rsid w:val="00CC2672"/>
    <w:rsid w:val="00CD0F52"/>
    <w:rsid w:val="00CD13F4"/>
    <w:rsid w:val="00CD216E"/>
    <w:rsid w:val="00CD3F9D"/>
    <w:rsid w:val="00CD7AFD"/>
    <w:rsid w:val="00CE121E"/>
    <w:rsid w:val="00CE713E"/>
    <w:rsid w:val="00CF3AA4"/>
    <w:rsid w:val="00CF56B2"/>
    <w:rsid w:val="00CF5BC2"/>
    <w:rsid w:val="00D00506"/>
    <w:rsid w:val="00D05175"/>
    <w:rsid w:val="00D10CF0"/>
    <w:rsid w:val="00D11AA5"/>
    <w:rsid w:val="00D11D68"/>
    <w:rsid w:val="00D2262A"/>
    <w:rsid w:val="00D45859"/>
    <w:rsid w:val="00D46AF7"/>
    <w:rsid w:val="00D50F0D"/>
    <w:rsid w:val="00D53452"/>
    <w:rsid w:val="00D576D1"/>
    <w:rsid w:val="00D629AA"/>
    <w:rsid w:val="00D716EB"/>
    <w:rsid w:val="00D72634"/>
    <w:rsid w:val="00D7559E"/>
    <w:rsid w:val="00D84E68"/>
    <w:rsid w:val="00D87F5A"/>
    <w:rsid w:val="00D93FB2"/>
    <w:rsid w:val="00D97C68"/>
    <w:rsid w:val="00DA3DEB"/>
    <w:rsid w:val="00DB003F"/>
    <w:rsid w:val="00DB2F85"/>
    <w:rsid w:val="00DB4209"/>
    <w:rsid w:val="00DB654C"/>
    <w:rsid w:val="00DC24F8"/>
    <w:rsid w:val="00DD1C4F"/>
    <w:rsid w:val="00DF54E1"/>
    <w:rsid w:val="00E00B46"/>
    <w:rsid w:val="00E027A7"/>
    <w:rsid w:val="00E04118"/>
    <w:rsid w:val="00E05173"/>
    <w:rsid w:val="00E222F1"/>
    <w:rsid w:val="00E27D96"/>
    <w:rsid w:val="00E3145E"/>
    <w:rsid w:val="00E31D1E"/>
    <w:rsid w:val="00E33790"/>
    <w:rsid w:val="00E40322"/>
    <w:rsid w:val="00E40715"/>
    <w:rsid w:val="00E41B78"/>
    <w:rsid w:val="00E46D36"/>
    <w:rsid w:val="00E479EF"/>
    <w:rsid w:val="00E50204"/>
    <w:rsid w:val="00E522B7"/>
    <w:rsid w:val="00E5425C"/>
    <w:rsid w:val="00E5462C"/>
    <w:rsid w:val="00E565AD"/>
    <w:rsid w:val="00E60093"/>
    <w:rsid w:val="00E6130E"/>
    <w:rsid w:val="00E62EBA"/>
    <w:rsid w:val="00E750D2"/>
    <w:rsid w:val="00E7678C"/>
    <w:rsid w:val="00E80589"/>
    <w:rsid w:val="00E842FC"/>
    <w:rsid w:val="00E8676A"/>
    <w:rsid w:val="00E97AD7"/>
    <w:rsid w:val="00EA0BB4"/>
    <w:rsid w:val="00EB15E8"/>
    <w:rsid w:val="00EB38C2"/>
    <w:rsid w:val="00EB7000"/>
    <w:rsid w:val="00EF24FB"/>
    <w:rsid w:val="00EF447F"/>
    <w:rsid w:val="00EF6B55"/>
    <w:rsid w:val="00F04FF7"/>
    <w:rsid w:val="00F1191F"/>
    <w:rsid w:val="00F11C26"/>
    <w:rsid w:val="00F226B7"/>
    <w:rsid w:val="00F318A9"/>
    <w:rsid w:val="00F3600D"/>
    <w:rsid w:val="00F442B8"/>
    <w:rsid w:val="00F532B1"/>
    <w:rsid w:val="00F74D52"/>
    <w:rsid w:val="00F8306A"/>
    <w:rsid w:val="00F84CC4"/>
    <w:rsid w:val="00F8599B"/>
    <w:rsid w:val="00FD4AEE"/>
    <w:rsid w:val="00FD75E7"/>
    <w:rsid w:val="00FE0ED2"/>
    <w:rsid w:val="00FE19D9"/>
    <w:rsid w:val="00FE7821"/>
    <w:rsid w:val="00FF11D4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7010-BFCA-4751-BC96-52698EE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61F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965BE"/>
  </w:style>
  <w:style w:type="character" w:customStyle="1" w:styleId="grame">
    <w:name w:val="grame"/>
    <w:basedOn w:val="Fontepargpadro"/>
    <w:rsid w:val="008965BE"/>
  </w:style>
  <w:style w:type="paragraph" w:styleId="NormalWeb">
    <w:name w:val="Normal (Web)"/>
    <w:basedOn w:val="Normal"/>
    <w:uiPriority w:val="99"/>
    <w:semiHidden/>
    <w:unhideWhenUsed/>
    <w:rsid w:val="0089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8965BE"/>
  </w:style>
  <w:style w:type="character" w:customStyle="1" w:styleId="Ttulo3Char">
    <w:name w:val="Título 3 Char"/>
    <w:basedOn w:val="Fontepargpadro"/>
    <w:link w:val="Ttulo3"/>
    <w:uiPriority w:val="9"/>
    <w:semiHidden/>
    <w:rsid w:val="000D61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D61F7"/>
    <w:pPr>
      <w:widowControl w:val="0"/>
      <w:autoSpaceDE w:val="0"/>
      <w:autoSpaceDN w:val="0"/>
      <w:spacing w:after="0" w:line="240" w:lineRule="auto"/>
      <w:ind w:left="167"/>
      <w:jc w:val="both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61F7"/>
    <w:rPr>
      <w:rFonts w:ascii="Verdana" w:eastAsia="Verdana" w:hAnsi="Verdana" w:cs="Verdana"/>
      <w:sz w:val="14"/>
      <w:szCs w:val="14"/>
      <w:lang w:val="en-US"/>
    </w:rPr>
  </w:style>
  <w:style w:type="paragraph" w:customStyle="1" w:styleId="msonormal0">
    <w:name w:val="msonormal"/>
    <w:basedOn w:val="Normal"/>
    <w:rsid w:val="0044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18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18E6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D4299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4146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4677"/>
  </w:style>
  <w:style w:type="table" w:styleId="Tabelacomgrade">
    <w:name w:val="Table Grid"/>
    <w:basedOn w:val="Tabelanormal"/>
    <w:uiPriority w:val="39"/>
    <w:rsid w:val="004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4072</Words>
  <Characters>21993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Vila Velha</Company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Gozzer Ferreira</dc:creator>
  <cp:lastModifiedBy>milan.salviato</cp:lastModifiedBy>
  <cp:revision>2</cp:revision>
  <dcterms:created xsi:type="dcterms:W3CDTF">2018-02-08T12:58:00Z</dcterms:created>
  <dcterms:modified xsi:type="dcterms:W3CDTF">2018-02-08T12:58:00Z</dcterms:modified>
</cp:coreProperties>
</file>